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3D2" w:rsidRDefault="004F4B70" w14:paraId="43F2D85A" w14:textId="77777777">
      <w:pPr>
        <w:jc w:val="center"/>
        <w:rPr>
          <w:rFonts w:asciiTheme="minorHAnsi" w:hAnsiTheme="minorHAnsi" w:cstheme="minorHAnsi"/>
          <w:b/>
          <w:sz w:val="32"/>
          <w:szCs w:val="32"/>
        </w:rPr>
      </w:pPr>
      <w:r>
        <w:rPr>
          <w:rFonts w:asciiTheme="minorHAnsi" w:hAnsiTheme="minorHAnsi" w:cstheme="minorHAnsi"/>
          <w:b/>
          <w:sz w:val="32"/>
          <w:szCs w:val="32"/>
        </w:rPr>
        <w:t>Fond des Femmes pour la Paix et l’action Humanitaire</w:t>
      </w:r>
    </w:p>
    <w:p w:rsidR="00BB03D2" w:rsidRDefault="004F4B70" w14:paraId="5662C145" w14:textId="77777777">
      <w:pPr>
        <w:jc w:val="center"/>
        <w:rPr>
          <w:rFonts w:ascii="Calibri" w:hAnsi="Calibri" w:eastAsia="Calibri" w:cs="Arial"/>
          <w:b/>
          <w:bCs/>
          <w:sz w:val="32"/>
          <w:szCs w:val="32"/>
          <w:lang w:eastAsia="en-US"/>
        </w:rPr>
      </w:pPr>
      <w:r>
        <w:rPr>
          <w:rFonts w:ascii="Calibri" w:hAnsi="Calibri" w:eastAsia="Calibri" w:cs="Arial"/>
          <w:b/>
          <w:bCs/>
          <w:sz w:val="32"/>
          <w:szCs w:val="32"/>
          <w:lang w:eastAsia="en-US"/>
        </w:rPr>
        <w:t>Appel à propositions</w:t>
      </w:r>
    </w:p>
    <w:p w:rsidR="00BB03D2" w:rsidRDefault="004F4B70" w14:paraId="259D6656" w14:textId="77777777">
      <w:pPr>
        <w:jc w:val="center"/>
        <w:rPr>
          <w:rFonts w:ascii="Calibri" w:hAnsi="Calibri" w:eastAsia="Calibri" w:cs="Arial"/>
          <w:b/>
          <w:bCs/>
          <w:sz w:val="32"/>
          <w:szCs w:val="32"/>
          <w:lang w:eastAsia="en-US"/>
        </w:rPr>
      </w:pPr>
      <w:proofErr w:type="spellStart"/>
      <w:r>
        <w:rPr>
          <w:rStyle w:val="normaltextrun"/>
          <w:rFonts w:ascii="Calibri" w:hAnsi="Calibri" w:cs="Calibri"/>
          <w:b/>
          <w:bCs/>
          <w:color w:val="000000"/>
          <w:sz w:val="32"/>
          <w:szCs w:val="32"/>
          <w:shd w:val="clear" w:color="auto" w:fill="FFFFFF"/>
          <w:lang w:val="en-US"/>
        </w:rPr>
        <w:t>Haïti</w:t>
      </w:r>
      <w:proofErr w:type="spellEnd"/>
      <w:r>
        <w:rPr>
          <w:rStyle w:val="normaltextrun"/>
          <w:rFonts w:ascii="Calibri" w:hAnsi="Calibri" w:cs="Calibri"/>
          <w:b/>
          <w:bCs/>
          <w:color w:val="000000"/>
          <w:sz w:val="32"/>
          <w:szCs w:val="32"/>
          <w:shd w:val="clear" w:color="auto" w:fill="FFFFFF"/>
          <w:lang w:val="en-US"/>
        </w:rPr>
        <w:t> </w:t>
      </w:r>
      <w:r>
        <w:rPr>
          <w:rStyle w:val="eop"/>
          <w:rFonts w:ascii="Calibri" w:hAnsi="Calibri" w:cs="Calibri"/>
          <w:color w:val="000000"/>
          <w:sz w:val="32"/>
          <w:szCs w:val="32"/>
          <w:shd w:val="clear" w:color="auto" w:fill="FFFFFF"/>
        </w:rPr>
        <w:t> </w:t>
      </w:r>
    </w:p>
    <w:p w:rsidR="00BB03D2" w:rsidRDefault="00BB03D2" w14:paraId="226BA4CC" w14:textId="77777777">
      <w:pPr>
        <w:jc w:val="center"/>
        <w:rPr>
          <w:rFonts w:ascii="Calibri" w:hAnsi="Calibri" w:eastAsia="Calibri" w:cs="Arial"/>
          <w:b/>
          <w:sz w:val="14"/>
          <w:szCs w:val="14"/>
          <w:lang w:eastAsia="en-US"/>
        </w:rPr>
      </w:pPr>
    </w:p>
    <w:tbl>
      <w:tblPr>
        <w:tblStyle w:val="TableGrid"/>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2946"/>
        <w:gridCol w:w="6116"/>
      </w:tblGrid>
      <w:tr w:rsidR="00BB03D2" w:rsidTr="6DF0D157" w14:paraId="3D70D642" w14:textId="77777777">
        <w:tc>
          <w:tcPr>
            <w:tcW w:w="3055" w:type="dxa"/>
            <w:tcMar/>
          </w:tcPr>
          <w:p w:rsidR="00BB03D2" w:rsidRDefault="004F4B70" w14:paraId="169DD864" w14:textId="77777777">
            <w:pPr>
              <w:rPr>
                <w:rFonts w:eastAsia="Calibri" w:asciiTheme="minorHAnsi" w:hAnsiTheme="minorHAnsi" w:cstheme="minorHAnsi"/>
                <w:b/>
                <w:sz w:val="22"/>
                <w:szCs w:val="22"/>
                <w:lang w:eastAsia="en-US"/>
              </w:rPr>
            </w:pPr>
            <w:proofErr w:type="spellStart"/>
            <w:r>
              <w:rPr>
                <w:rFonts w:asciiTheme="minorHAnsi" w:hAnsiTheme="minorHAnsi" w:cstheme="minorHAnsi"/>
                <w:b/>
                <w:sz w:val="22"/>
                <w:szCs w:val="22"/>
              </w:rPr>
              <w:t>Ouverture</w:t>
            </w:r>
            <w:proofErr w:type="spellEnd"/>
            <w:r>
              <w:rPr>
                <w:rFonts w:asciiTheme="minorHAnsi" w:hAnsiTheme="minorHAnsi" w:cstheme="minorHAnsi"/>
                <w:b/>
                <w:sz w:val="22"/>
                <w:szCs w:val="22"/>
              </w:rPr>
              <w:t xml:space="preserve"> de </w:t>
            </w:r>
            <w:proofErr w:type="spellStart"/>
            <w:proofErr w:type="gramStart"/>
            <w:r>
              <w:rPr>
                <w:rFonts w:asciiTheme="minorHAnsi" w:hAnsiTheme="minorHAnsi" w:cstheme="minorHAnsi"/>
                <w:b/>
                <w:sz w:val="22"/>
                <w:szCs w:val="22"/>
              </w:rPr>
              <w:t>l’appel</w:t>
            </w:r>
            <w:proofErr w:type="spellEnd"/>
            <w:r>
              <w:rPr>
                <w:rFonts w:asciiTheme="minorHAnsi" w:hAnsiTheme="minorHAnsi" w:cstheme="minorHAnsi"/>
                <w:b/>
                <w:sz w:val="22"/>
                <w:szCs w:val="22"/>
              </w:rPr>
              <w:t xml:space="preserve"> :</w:t>
            </w:r>
            <w:proofErr w:type="gramEnd"/>
          </w:p>
        </w:tc>
        <w:tc>
          <w:tcPr>
            <w:tcW w:w="6295" w:type="dxa"/>
            <w:tcMar/>
          </w:tcPr>
          <w:p w:rsidR="00BB03D2" w:rsidP="4C74353F" w:rsidRDefault="004F4B70" w14:paraId="4083233C" w14:textId="192FE6D5">
            <w:pPr>
              <w:rPr>
                <w:rFonts w:ascii="Calibri" w:hAnsi="Calibri" w:eastAsia="Calibri" w:cs="Arial"/>
                <w:sz w:val="22"/>
                <w:szCs w:val="22"/>
                <w:lang w:eastAsia="en-US"/>
              </w:rPr>
            </w:pPr>
            <w:r w:rsidRPr="6DF0D157" w:rsidR="004F4B70">
              <w:rPr>
                <w:rFonts w:ascii="Calibri" w:hAnsi="Calibri" w:eastAsia="Calibri" w:cs="Arial"/>
                <w:sz w:val="22"/>
                <w:szCs w:val="22"/>
                <w:lang w:eastAsia="en-US"/>
              </w:rPr>
              <w:t>[</w:t>
            </w:r>
            <w:r w:rsidRPr="6DF0D157" w:rsidR="46DD2F82">
              <w:rPr>
                <w:rFonts w:ascii="Calibri" w:hAnsi="Calibri" w:eastAsia="Calibri" w:cs="Arial"/>
                <w:sz w:val="22"/>
                <w:szCs w:val="22"/>
                <w:lang w:eastAsia="en-US"/>
              </w:rPr>
              <w:t>5</w:t>
            </w:r>
            <w:r w:rsidRPr="6DF0D157" w:rsidR="004F4B70">
              <w:rPr>
                <w:rFonts w:ascii="Calibri" w:hAnsi="Calibri" w:eastAsia="Calibri" w:cs="Arial"/>
                <w:sz w:val="22"/>
                <w:szCs w:val="22"/>
                <w:lang w:eastAsia="en-US"/>
              </w:rPr>
              <w:t xml:space="preserve"> </w:t>
            </w:r>
            <w:r w:rsidRPr="6DF0D157" w:rsidR="25BD1F3F">
              <w:rPr>
                <w:rFonts w:ascii="Calibri" w:hAnsi="Calibri" w:eastAsia="Calibri" w:cs="Arial"/>
                <w:sz w:val="22"/>
                <w:szCs w:val="22"/>
                <w:lang w:eastAsia="en-US"/>
              </w:rPr>
              <w:t>avril</w:t>
            </w:r>
            <w:r w:rsidRPr="6DF0D157" w:rsidR="004F4B70">
              <w:rPr>
                <w:rFonts w:ascii="Calibri" w:hAnsi="Calibri" w:eastAsia="Calibri" w:cs="Arial"/>
                <w:sz w:val="22"/>
                <w:szCs w:val="22"/>
                <w:lang w:eastAsia="en-US"/>
              </w:rPr>
              <w:t xml:space="preserve"> 2023]</w:t>
            </w:r>
          </w:p>
        </w:tc>
      </w:tr>
      <w:tr w:rsidR="00BB03D2" w:rsidTr="6DF0D157" w14:paraId="177A2199" w14:textId="77777777">
        <w:tc>
          <w:tcPr>
            <w:tcW w:w="3055" w:type="dxa"/>
            <w:tcMar/>
          </w:tcPr>
          <w:p w:rsidR="00BB03D2" w:rsidRDefault="004F4B70" w14:paraId="2CD87560" w14:textId="77777777">
            <w:pPr>
              <w:rPr>
                <w:rFonts w:eastAsia="Calibri" w:asciiTheme="minorHAnsi" w:hAnsiTheme="minorHAnsi" w:cstheme="minorHAnsi"/>
                <w:b/>
                <w:sz w:val="22"/>
                <w:szCs w:val="22"/>
                <w:lang w:eastAsia="en-US"/>
              </w:rPr>
            </w:pPr>
            <w:r>
              <w:rPr>
                <w:rFonts w:asciiTheme="minorHAnsi" w:hAnsiTheme="minorHAnsi" w:cstheme="minorHAnsi"/>
                <w:b/>
                <w:sz w:val="22"/>
                <w:szCs w:val="22"/>
              </w:rPr>
              <w:t xml:space="preserve">Date </w:t>
            </w:r>
            <w:proofErr w:type="spellStart"/>
            <w:r>
              <w:rPr>
                <w:rFonts w:asciiTheme="minorHAnsi" w:hAnsiTheme="minorHAnsi" w:cstheme="minorHAnsi"/>
                <w:b/>
                <w:sz w:val="22"/>
                <w:szCs w:val="22"/>
              </w:rPr>
              <w:t>limite</w:t>
            </w:r>
            <w:proofErr w:type="spellEnd"/>
            <w:r>
              <w:rPr>
                <w:rFonts w:asciiTheme="minorHAnsi" w:hAnsiTheme="minorHAnsi" w:cstheme="minorHAnsi"/>
                <w:b/>
                <w:sz w:val="22"/>
                <w:szCs w:val="22"/>
              </w:rPr>
              <w:t xml:space="preserve"> de </w:t>
            </w:r>
            <w:proofErr w:type="spellStart"/>
            <w:proofErr w:type="gramStart"/>
            <w:r>
              <w:rPr>
                <w:rFonts w:asciiTheme="minorHAnsi" w:hAnsiTheme="minorHAnsi" w:cstheme="minorHAnsi"/>
                <w:b/>
                <w:sz w:val="22"/>
                <w:szCs w:val="22"/>
              </w:rPr>
              <w:t>soumission</w:t>
            </w:r>
            <w:proofErr w:type="spellEnd"/>
            <w:r>
              <w:rPr>
                <w:rFonts w:asciiTheme="minorHAnsi" w:hAnsiTheme="minorHAnsi" w:cstheme="minorHAnsi"/>
                <w:b/>
                <w:sz w:val="22"/>
                <w:szCs w:val="22"/>
              </w:rPr>
              <w:t xml:space="preserve"> :</w:t>
            </w:r>
            <w:proofErr w:type="gramEnd"/>
          </w:p>
        </w:tc>
        <w:tc>
          <w:tcPr>
            <w:tcW w:w="6295" w:type="dxa"/>
            <w:tcMar/>
          </w:tcPr>
          <w:p w:rsidR="00BB03D2" w:rsidRDefault="004F4B70" w14:paraId="071B9DB9" w14:textId="66BF246B">
            <w:pPr>
              <w:rPr>
                <w:rFonts w:ascii="Calibri" w:hAnsi="Calibri" w:eastAsia="Calibri" w:cs="Arial"/>
                <w:sz w:val="22"/>
                <w:szCs w:val="22"/>
                <w:lang w:eastAsia="en-US"/>
              </w:rPr>
            </w:pPr>
            <w:r w:rsidRPr="6DF0D157" w:rsidR="004F4B70">
              <w:rPr>
                <w:rFonts w:ascii="Calibri" w:hAnsi="Calibri" w:eastAsia="Calibri" w:cs="Arial"/>
                <w:sz w:val="22"/>
                <w:szCs w:val="22"/>
                <w:lang w:eastAsia="en-US"/>
              </w:rPr>
              <w:t>[</w:t>
            </w:r>
            <w:r w:rsidRPr="6DF0D157" w:rsidR="331A90DB">
              <w:rPr>
                <w:rFonts w:ascii="Calibri" w:hAnsi="Calibri" w:eastAsia="Calibri" w:cs="Arial"/>
                <w:sz w:val="22"/>
                <w:szCs w:val="22"/>
                <w:lang w:eastAsia="en-US"/>
              </w:rPr>
              <w:t>4</w:t>
            </w:r>
            <w:r w:rsidRPr="6DF0D157" w:rsidR="004F4B70">
              <w:rPr>
                <w:rFonts w:ascii="Calibri" w:hAnsi="Calibri" w:eastAsia="Calibri" w:cs="Arial"/>
                <w:sz w:val="22"/>
                <w:szCs w:val="22"/>
                <w:lang w:eastAsia="en-US"/>
              </w:rPr>
              <w:t xml:space="preserve"> </w:t>
            </w:r>
            <w:r w:rsidRPr="6DF0D157" w:rsidR="00DA703A">
              <w:rPr>
                <w:rFonts w:ascii="Calibri" w:hAnsi="Calibri" w:eastAsia="Calibri" w:cs="Arial"/>
                <w:sz w:val="22"/>
                <w:szCs w:val="22"/>
                <w:lang w:eastAsia="en-US"/>
              </w:rPr>
              <w:t>mai</w:t>
            </w:r>
            <w:r w:rsidRPr="6DF0D157" w:rsidR="00DA703A">
              <w:rPr>
                <w:rFonts w:ascii="Calibri" w:hAnsi="Calibri" w:eastAsia="Calibri" w:cs="Arial"/>
                <w:sz w:val="22"/>
                <w:szCs w:val="22"/>
                <w:lang w:eastAsia="en-US"/>
              </w:rPr>
              <w:t xml:space="preserve"> </w:t>
            </w:r>
            <w:r w:rsidRPr="6DF0D157" w:rsidR="004F4B70">
              <w:rPr>
                <w:rFonts w:ascii="Calibri" w:hAnsi="Calibri" w:eastAsia="Calibri" w:cs="Arial"/>
                <w:sz w:val="22"/>
                <w:szCs w:val="22"/>
                <w:lang w:eastAsia="en-US"/>
              </w:rPr>
              <w:t>2023]</w:t>
            </w:r>
          </w:p>
        </w:tc>
      </w:tr>
      <w:tr w:rsidR="00BB03D2" w:rsidTr="6DF0D157" w14:paraId="0023BD2B" w14:textId="77777777">
        <w:tc>
          <w:tcPr>
            <w:tcW w:w="3055" w:type="dxa"/>
            <w:tcMar/>
          </w:tcPr>
          <w:p w:rsidR="00BB03D2" w:rsidRDefault="004F4B70" w14:paraId="4367978A" w14:textId="77777777">
            <w:pPr>
              <w:rPr>
                <w:rFonts w:eastAsia="Calibri" w:asciiTheme="minorHAnsi" w:hAnsiTheme="minorHAnsi" w:cstheme="minorHAnsi"/>
                <w:b/>
                <w:bCs/>
                <w:sz w:val="22"/>
                <w:szCs w:val="22"/>
                <w:lang w:eastAsia="en-US"/>
              </w:rPr>
            </w:pPr>
            <w:proofErr w:type="spellStart"/>
            <w:r>
              <w:rPr>
                <w:rFonts w:asciiTheme="minorHAnsi" w:hAnsiTheme="minorHAnsi" w:cstheme="minorHAnsi"/>
                <w:b/>
                <w:sz w:val="22"/>
                <w:szCs w:val="22"/>
              </w:rPr>
              <w:t>Envoyez</w:t>
            </w:r>
            <w:proofErr w:type="spellEnd"/>
            <w:r>
              <w:rPr>
                <w:rFonts w:asciiTheme="minorHAnsi" w:hAnsiTheme="minorHAnsi" w:cstheme="minorHAnsi"/>
                <w:b/>
                <w:sz w:val="22"/>
                <w:szCs w:val="22"/>
              </w:rPr>
              <w:t xml:space="preserve"> la </w:t>
            </w:r>
            <w:proofErr w:type="spellStart"/>
            <w:r>
              <w:rPr>
                <w:rFonts w:asciiTheme="minorHAnsi" w:hAnsiTheme="minorHAnsi" w:cstheme="minorHAnsi"/>
                <w:b/>
                <w:sz w:val="22"/>
                <w:szCs w:val="22"/>
              </w:rPr>
              <w:t>demande</w:t>
            </w:r>
            <w:proofErr w:type="spellEnd"/>
            <w:r>
              <w:rPr>
                <w:rFonts w:asciiTheme="minorHAnsi" w:hAnsiTheme="minorHAnsi" w:cstheme="minorHAnsi"/>
                <w:b/>
                <w:sz w:val="22"/>
                <w:szCs w:val="22"/>
              </w:rPr>
              <w:t xml:space="preserve"> </w:t>
            </w:r>
            <w:proofErr w:type="gramStart"/>
            <w:r>
              <w:rPr>
                <w:rFonts w:asciiTheme="minorHAnsi" w:hAnsiTheme="minorHAnsi" w:cstheme="minorHAnsi"/>
                <w:b/>
                <w:sz w:val="22"/>
                <w:szCs w:val="22"/>
              </w:rPr>
              <w:t>à :</w:t>
            </w:r>
            <w:proofErr w:type="gramEnd"/>
          </w:p>
        </w:tc>
        <w:tc>
          <w:tcPr>
            <w:tcW w:w="6295" w:type="dxa"/>
            <w:tcMar/>
          </w:tcPr>
          <w:p w:rsidR="00BB03D2" w:rsidRDefault="00000000" w14:paraId="782D625F" w14:textId="77777777">
            <w:pPr>
              <w:rPr>
                <w:rFonts w:ascii="Calibri" w:hAnsi="Calibri" w:eastAsia="Calibri" w:cs="Arial"/>
                <w:b/>
                <w:bCs/>
                <w:sz w:val="22"/>
                <w:szCs w:val="22"/>
                <w:highlight w:val="cyan"/>
                <w:lang w:eastAsia="en-US"/>
              </w:rPr>
            </w:pPr>
            <w:hyperlink w:history="1" r:id="rId8">
              <w:r w:rsidR="004F4B70">
                <w:rPr>
                  <w:rStyle w:val="Hyperlink"/>
                  <w:rFonts w:ascii="Calibri" w:hAnsi="Calibri" w:eastAsia="Calibri" w:cs="Arial"/>
                  <w:sz w:val="22"/>
                  <w:szCs w:val="22"/>
                  <w:lang w:eastAsia="en-US"/>
                </w:rPr>
                <w:t>WPHFapplications@unwomen.org</w:t>
              </w:r>
            </w:hyperlink>
            <w:r w:rsidR="004F4B70">
              <w:rPr>
                <w:rFonts w:ascii="Calibri" w:hAnsi="Calibri" w:eastAsia="Calibri" w:cs="Arial"/>
                <w:sz w:val="22"/>
                <w:szCs w:val="22"/>
                <w:lang w:eastAsia="en-US"/>
              </w:rPr>
              <w:t xml:space="preserve">  </w:t>
            </w:r>
          </w:p>
        </w:tc>
      </w:tr>
    </w:tbl>
    <w:p w:rsidR="00BB03D2" w:rsidRDefault="00BB03D2" w14:paraId="761CC866" w14:textId="77777777">
      <w:pPr>
        <w:jc w:val="center"/>
        <w:rPr>
          <w:rFonts w:asciiTheme="minorHAnsi" w:hAnsiTheme="minorHAnsi" w:cstheme="minorHAnsi"/>
          <w:b/>
          <w:sz w:val="28"/>
          <w:szCs w:val="28"/>
        </w:rPr>
      </w:pPr>
    </w:p>
    <w:p w:rsidR="00BB03D2" w:rsidRDefault="004F4B70" w14:paraId="4940F095" w14:textId="77777777">
      <w:pPr>
        <w:rPr>
          <w:rFonts w:asciiTheme="minorHAnsi" w:hAnsiTheme="minorHAnsi" w:cstheme="minorBidi"/>
          <w:b/>
          <w:bCs/>
          <w:color w:val="009FE4"/>
        </w:rPr>
      </w:pPr>
      <w:r>
        <w:rPr>
          <w:rFonts w:asciiTheme="minorHAnsi" w:hAnsiTheme="minorHAnsi" w:eastAsiaTheme="minorEastAsia" w:cstheme="minorBidi"/>
          <w:b/>
          <w:bCs/>
          <w:color w:val="009FE4"/>
          <w:lang w:eastAsia="en-US"/>
        </w:rPr>
        <w:t xml:space="preserve">1.  </w:t>
      </w:r>
      <w:r>
        <w:rPr>
          <w:rFonts w:asciiTheme="minorHAnsi" w:hAnsiTheme="minorHAnsi" w:cstheme="minorBidi"/>
          <w:b/>
          <w:bCs/>
          <w:color w:val="009FE4"/>
        </w:rPr>
        <w:t xml:space="preserve">Objectifs et but de l’appel à propositions </w:t>
      </w:r>
    </w:p>
    <w:p w:rsidR="00BB03D2" w:rsidRDefault="004F4B70" w14:paraId="5B5A7232" w14:textId="1E75142C">
      <w:pPr>
        <w:rPr>
          <w:rFonts w:asciiTheme="minorHAnsi" w:hAnsiTheme="minorHAnsi" w:cstheme="minorBidi"/>
          <w:sz w:val="22"/>
          <w:szCs w:val="22"/>
        </w:rPr>
      </w:pPr>
      <w:r>
        <w:rPr>
          <w:rFonts w:asciiTheme="minorHAnsi" w:hAnsiTheme="minorHAnsi" w:cstheme="minorBidi"/>
          <w:sz w:val="22"/>
          <w:szCs w:val="22"/>
        </w:rPr>
        <w:t xml:space="preserve">L’objectif général de cet appel à propositions est de fournir des subventions aux organisations locales de la société civile </w:t>
      </w:r>
      <w:r w:rsidR="008D3296">
        <w:rPr>
          <w:rFonts w:asciiTheme="minorHAnsi" w:hAnsiTheme="minorHAnsi" w:cstheme="minorBidi"/>
          <w:sz w:val="22"/>
          <w:szCs w:val="22"/>
        </w:rPr>
        <w:t>en</w:t>
      </w:r>
      <w:r>
        <w:rPr>
          <w:rFonts w:asciiTheme="minorHAnsi" w:hAnsiTheme="minorHAnsi" w:cstheme="minorBidi"/>
          <w:sz w:val="22"/>
          <w:szCs w:val="22"/>
        </w:rPr>
        <w:t xml:space="preserve"> Haïti axées sur </w:t>
      </w:r>
      <w:r>
        <w:rPr>
          <w:rStyle w:val="normaltextrun"/>
          <w:rFonts w:ascii="Calibri" w:hAnsi="Calibri" w:cs="Calibri"/>
          <w:color w:val="000000"/>
          <w:sz w:val="22"/>
          <w:szCs w:val="22"/>
          <w:shd w:val="clear" w:color="auto" w:fill="FFFFFF"/>
        </w:rPr>
        <w:t xml:space="preserve">la protection et la défense des droits des femmes et des filles, ainsi que la participation et </w:t>
      </w:r>
      <w:r w:rsidR="008D3296">
        <w:rPr>
          <w:rStyle w:val="normaltextrun"/>
          <w:rFonts w:ascii="Calibri" w:hAnsi="Calibri" w:cs="Calibri"/>
          <w:color w:val="000000"/>
          <w:sz w:val="22"/>
          <w:szCs w:val="22"/>
          <w:shd w:val="clear" w:color="auto" w:fill="FFFFFF"/>
        </w:rPr>
        <w:t xml:space="preserve">le </w:t>
      </w:r>
      <w:r>
        <w:rPr>
          <w:rStyle w:val="normaltextrun"/>
          <w:rFonts w:ascii="Calibri" w:hAnsi="Calibri" w:cs="Calibri"/>
          <w:color w:val="000000"/>
          <w:sz w:val="22"/>
          <w:szCs w:val="22"/>
          <w:shd w:val="clear" w:color="auto" w:fill="FFFFFF"/>
        </w:rPr>
        <w:t xml:space="preserve">leadership des femmes dans la planification et la réponse aux crises humanitaires </w:t>
      </w:r>
      <w:r>
        <w:rPr>
          <w:rFonts w:asciiTheme="minorHAnsi" w:hAnsiTheme="minorHAnsi" w:cstheme="minorBidi"/>
          <w:sz w:val="22"/>
          <w:szCs w:val="22"/>
        </w:rPr>
        <w:t>dans les contextes de conflit.</w:t>
      </w:r>
    </w:p>
    <w:p w:rsidR="00BB03D2" w:rsidRDefault="00BB03D2" w14:paraId="37DBE1D9" w14:textId="77777777">
      <w:pPr>
        <w:rPr>
          <w:rFonts w:asciiTheme="minorHAnsi" w:hAnsiTheme="minorHAnsi" w:cstheme="minorHAnsi"/>
          <w:bCs/>
          <w:sz w:val="22"/>
          <w:szCs w:val="22"/>
        </w:rPr>
      </w:pPr>
    </w:p>
    <w:p w:rsidR="00BB03D2" w:rsidRDefault="004F4B70" w14:paraId="09741B13" w14:textId="23FFB64B">
      <w:pPr>
        <w:pStyle w:val="paragraph"/>
        <w:spacing w:before="0" w:beforeAutospacing="0" w:after="0" w:afterAutospacing="0"/>
        <w:textAlignment w:val="baseline"/>
        <w:rPr>
          <w:rFonts w:ascii="Segoe UI" w:hAnsi="Segoe UI" w:cs="Segoe UI"/>
          <w:sz w:val="18"/>
          <w:szCs w:val="18"/>
          <w:lang w:eastAsia="en-GB"/>
        </w:rPr>
      </w:pPr>
      <w:r>
        <w:rPr>
          <w:rStyle w:val="normaltextrun"/>
          <w:rFonts w:ascii="Calibri" w:hAnsi="Calibri" w:cs="Calibri"/>
          <w:sz w:val="22"/>
          <w:szCs w:val="22"/>
        </w:rPr>
        <w:t>Les propositions devront contribuer aux trois résultats suivants : </w:t>
      </w:r>
      <w:r>
        <w:rPr>
          <w:rStyle w:val="eop"/>
          <w:rFonts w:ascii="Calibri" w:hAnsi="Calibri" w:cs="Calibri"/>
          <w:sz w:val="22"/>
          <w:szCs w:val="22"/>
        </w:rPr>
        <w:t> </w:t>
      </w:r>
    </w:p>
    <w:p w:rsidR="00BB03D2" w:rsidRDefault="004F4B70" w14:paraId="463F683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03D2" w:rsidRDefault="004F4B70" w14:paraId="098CF3CD" w14:textId="77777777">
      <w:pPr>
        <w:pStyle w:val="Paragraphedeliste1"/>
        <w:numPr>
          <w:ilvl w:val="0"/>
          <w:numId w:val="1"/>
        </w:numPr>
        <w:rPr>
          <w:rStyle w:val="normaltextrun"/>
          <w:rFonts w:ascii="Calibri" w:hAnsi="Calibri" w:cs="Calibri"/>
          <w:b/>
          <w:bCs/>
          <w:lang w:val="fr-CH"/>
        </w:rPr>
      </w:pPr>
      <w:r>
        <w:rPr>
          <w:rStyle w:val="normaltextrun"/>
          <w:rFonts w:ascii="Calibri" w:hAnsi="Calibri" w:cs="Calibri"/>
          <w:b/>
          <w:bCs/>
          <w:lang w:val="fr-CH"/>
        </w:rPr>
        <w:t xml:space="preserve">Domaine d’impact 3 du WPHF : </w:t>
      </w:r>
      <w:r>
        <w:rPr>
          <w:rStyle w:val="normaltextrun"/>
          <w:rFonts w:ascii="Calibri" w:hAnsi="Calibri" w:cs="Calibri"/>
          <w:lang w:val="fr-CH"/>
        </w:rPr>
        <w:t>La participation et le leadership des femmes sont accrues dans la planification et la réponse aux crises humanitaires.</w:t>
      </w:r>
      <w:r>
        <w:rPr>
          <w:rStyle w:val="normaltextrun"/>
          <w:rFonts w:ascii="Calibri" w:hAnsi="Calibri" w:cs="Calibri"/>
          <w:b/>
          <w:bCs/>
          <w:lang w:val="fr-CH"/>
        </w:rPr>
        <w:t xml:space="preserve"> </w:t>
      </w:r>
    </w:p>
    <w:p w:rsidR="00BB03D2" w:rsidRDefault="004F4B70" w14:paraId="7F71A455" w14:textId="77777777">
      <w:pPr>
        <w:pStyle w:val="Paragraphedeliste1"/>
        <w:numPr>
          <w:ilvl w:val="0"/>
          <w:numId w:val="1"/>
        </w:numPr>
        <w:rPr>
          <w:rStyle w:val="normaltextrun"/>
          <w:rFonts w:ascii="Calibri" w:hAnsi="Calibri" w:cs="Calibri"/>
          <w:lang w:val="fr-CH"/>
        </w:rPr>
      </w:pPr>
      <w:r>
        <w:rPr>
          <w:rStyle w:val="normaltextrun"/>
          <w:rFonts w:ascii="Calibri" w:hAnsi="Calibri" w:cs="Calibri"/>
          <w:b/>
          <w:bCs/>
          <w:lang w:val="fr-CH"/>
        </w:rPr>
        <w:t xml:space="preserve">Domaine d’impact 5 du WPHF </w:t>
      </w:r>
      <w:r>
        <w:rPr>
          <w:rStyle w:val="normaltextrun"/>
          <w:rFonts w:ascii="Calibri" w:hAnsi="Calibri" w:cs="Calibri"/>
          <w:lang w:val="fr-CH"/>
        </w:rPr>
        <w:t xml:space="preserve">: Les droits humains, la sûreté, la sécurité et la santé mentale des femmes et des filles sont améliorés. </w:t>
      </w:r>
    </w:p>
    <w:p w:rsidR="00BB03D2" w:rsidRDefault="004F4B70" w14:paraId="45BA5F2B" w14:textId="77777777">
      <w:pPr>
        <w:pStyle w:val="Paragraphedeliste1"/>
        <w:numPr>
          <w:ilvl w:val="0"/>
          <w:numId w:val="1"/>
        </w:numPr>
        <w:rPr>
          <w:rStyle w:val="normaltextrun"/>
          <w:rFonts w:ascii="Calibri" w:hAnsi="Calibri" w:cs="Calibri"/>
          <w:lang w:val="fr-CH"/>
        </w:rPr>
      </w:pPr>
      <w:r>
        <w:rPr>
          <w:rStyle w:val="normaltextrun"/>
          <w:rFonts w:ascii="Calibri" w:hAnsi="Calibri" w:cs="Calibri"/>
          <w:b/>
          <w:bCs/>
          <w:lang w:val="fr-CH"/>
        </w:rPr>
        <w:t xml:space="preserve">Domaine d’impact 6 du WPHF </w:t>
      </w:r>
      <w:r>
        <w:rPr>
          <w:rStyle w:val="normaltextrun"/>
          <w:rFonts w:ascii="Calibri" w:hAnsi="Calibri" w:cs="Calibri"/>
          <w:lang w:val="fr-CH"/>
        </w:rPr>
        <w:t>: Amélioration du relèvement socio-économique et de la participation politique des femmes et des filles dans les contextes de consolidation de la paix.</w:t>
      </w:r>
    </w:p>
    <w:p w:rsidR="00BB03D2" w:rsidRDefault="00BB03D2" w14:paraId="19E1CC11" w14:textId="77777777">
      <w:pPr>
        <w:rPr>
          <w:rFonts w:asciiTheme="minorHAnsi" w:hAnsiTheme="minorHAnsi" w:cstheme="minorHAnsi"/>
          <w:sz w:val="22"/>
          <w:szCs w:val="22"/>
        </w:rPr>
      </w:pPr>
    </w:p>
    <w:p w:rsidR="00BB03D2" w:rsidRDefault="00855F9E" w14:paraId="065E5AAE" w14:textId="086E7634">
      <w:pPr>
        <w:rPr>
          <w:rFonts w:asciiTheme="minorHAnsi" w:hAnsiTheme="minorHAnsi" w:cstheme="minorHAnsi"/>
          <w:bCs/>
          <w:sz w:val="22"/>
          <w:szCs w:val="22"/>
        </w:rPr>
      </w:pPr>
      <w:r>
        <w:rPr>
          <w:rFonts w:asciiTheme="minorHAnsi" w:hAnsiTheme="minorHAnsi" w:cstheme="minorHAnsi"/>
          <w:bCs/>
          <w:sz w:val="22"/>
          <w:szCs w:val="22"/>
        </w:rPr>
        <w:t>L’</w:t>
      </w:r>
      <w:r>
        <w:rPr>
          <w:rFonts w:asciiTheme="minorHAnsi" w:hAnsiTheme="minorHAnsi" w:cstheme="minorBidi"/>
          <w:sz w:val="22"/>
          <w:szCs w:val="22"/>
        </w:rPr>
        <w:t>appel à propositions</w:t>
      </w:r>
      <w:r w:rsidR="004F4B70">
        <w:rPr>
          <w:rFonts w:asciiTheme="minorHAnsi" w:hAnsiTheme="minorHAnsi" w:cstheme="minorHAnsi"/>
          <w:bCs/>
          <w:sz w:val="22"/>
          <w:szCs w:val="22"/>
        </w:rPr>
        <w:t xml:space="preserve"> est aligné avec l'objectif général de contribuer à des sociétés pacifiques et égalitaires entre les sexes.</w:t>
      </w:r>
    </w:p>
    <w:p w:rsidR="00BB03D2" w:rsidRDefault="00BB03D2" w14:paraId="6CC98905" w14:textId="77777777">
      <w:pPr>
        <w:jc w:val="both"/>
        <w:rPr>
          <w:rFonts w:asciiTheme="minorHAnsi" w:hAnsiTheme="minorHAnsi" w:cstheme="minorHAnsi"/>
        </w:rPr>
      </w:pPr>
    </w:p>
    <w:p w:rsidR="00BB03D2" w:rsidRDefault="004F4B70" w14:paraId="0A9A6D6B" w14:textId="77777777">
      <w:pPr>
        <w:pStyle w:val="Paragraphedeliste1"/>
        <w:numPr>
          <w:ilvl w:val="0"/>
          <w:numId w:val="2"/>
        </w:numPr>
        <w:spacing w:after="0" w:line="240" w:lineRule="auto"/>
        <w:jc w:val="both"/>
        <w:rPr>
          <w:rFonts w:asciiTheme="minorHAnsi" w:hAnsiTheme="minorHAnsi" w:eastAsiaTheme="minorEastAsia" w:cstheme="minorBidi"/>
          <w:b/>
          <w:bCs/>
          <w:color w:val="009FE4"/>
          <w:sz w:val="24"/>
          <w:szCs w:val="24"/>
          <w:lang w:val="fr-FR" w:eastAsia="en-US"/>
        </w:rPr>
      </w:pPr>
      <w:r>
        <w:rPr>
          <w:rFonts w:asciiTheme="minorHAnsi" w:hAnsiTheme="minorHAnsi" w:eastAsiaTheme="minorEastAsia" w:cstheme="minorBidi"/>
          <w:b/>
          <w:bCs/>
          <w:color w:val="009FE4"/>
          <w:sz w:val="24"/>
          <w:szCs w:val="24"/>
          <w:lang w:val="fr-FR" w:eastAsia="en-US"/>
        </w:rPr>
        <w:t>Contexte pays lié à l’appel à propositions</w:t>
      </w:r>
    </w:p>
    <w:p w:rsidRPr="00E85B54" w:rsidR="00BB03D2" w:rsidRDefault="004F4B70" w14:paraId="61646B39" w14:textId="75147545">
      <w:pPr>
        <w:jc w:val="both"/>
        <w:rPr>
          <w:rFonts w:asciiTheme="minorHAnsi" w:hAnsiTheme="minorHAnsi" w:cstheme="minorHAnsi"/>
          <w:sz w:val="22"/>
          <w:szCs w:val="22"/>
        </w:rPr>
      </w:pPr>
      <w:r w:rsidRPr="00E85B54">
        <w:rPr>
          <w:rFonts w:asciiTheme="minorHAnsi" w:hAnsiTheme="minorHAnsi" w:cstheme="minorHAnsi"/>
          <w:sz w:val="22"/>
          <w:szCs w:val="22"/>
        </w:rPr>
        <w:t>Les conditions de vie actuelles en Haïti sont extrêmement précaires et préoccupantes, et sont de nature à aggraver la vulnérabilité des groupes déjà marginalisés, notamment les femmes</w:t>
      </w:r>
      <w:r w:rsidRPr="00E85B54" w:rsidR="00D6394B">
        <w:rPr>
          <w:rFonts w:asciiTheme="minorHAnsi" w:hAnsiTheme="minorHAnsi" w:cstheme="minorHAnsi"/>
          <w:sz w:val="22"/>
          <w:szCs w:val="22"/>
        </w:rPr>
        <w:t xml:space="preserve"> et filles, femmes et filles vivant avec un handicap et de vulnérabilités multiples</w:t>
      </w:r>
      <w:r w:rsidRPr="00E85B54">
        <w:rPr>
          <w:rFonts w:asciiTheme="minorHAnsi" w:hAnsiTheme="minorHAnsi" w:cstheme="minorHAnsi"/>
          <w:sz w:val="22"/>
          <w:szCs w:val="22"/>
        </w:rPr>
        <w:t xml:space="preserve"> vivant dans les quartiers régis par les gangs. On observe chaque jour une hausse de la criminalité, notamment en termes de vols, vandalisme, braquages, homicides, viols, kidnappings et autres actes de violence dans de nombreuses zones du pays et davantage dans la zone métropolitaine de Port-au-Prince et dans d’autres régions comme l’Artibonite, le Nord et le milieu transfrontalier. Cette situation d’insécurité croissante déclenchée par la multiplication des homicides, des enlèvements contre rançon et des affrontements inter gangs pour le contrôle territorial, fragilise gravement le peuple haïtien et encore plus les femmes et les filles. </w:t>
      </w:r>
    </w:p>
    <w:p w:rsidRPr="00E85B54" w:rsidR="00BB03D2" w:rsidRDefault="00BB03D2" w14:paraId="6472633D" w14:textId="77777777">
      <w:pPr>
        <w:jc w:val="both"/>
        <w:rPr>
          <w:rFonts w:asciiTheme="minorHAnsi" w:hAnsiTheme="minorHAnsi" w:cstheme="minorHAnsi"/>
          <w:sz w:val="22"/>
          <w:szCs w:val="22"/>
        </w:rPr>
      </w:pPr>
    </w:p>
    <w:p w:rsidRPr="00E85B54" w:rsidR="00BB03D2" w:rsidRDefault="004F4B70" w14:paraId="13560CD4" w14:textId="7D72FC8A">
      <w:pPr>
        <w:jc w:val="both"/>
        <w:rPr>
          <w:rFonts w:asciiTheme="minorHAnsi" w:hAnsiTheme="minorHAnsi" w:cstheme="minorHAnsi"/>
          <w:sz w:val="22"/>
          <w:szCs w:val="22"/>
        </w:rPr>
      </w:pPr>
      <w:r w:rsidRPr="00E85B54">
        <w:rPr>
          <w:rFonts w:asciiTheme="minorHAnsi" w:hAnsiTheme="minorHAnsi" w:cstheme="minorHAnsi"/>
          <w:color w:val="000000"/>
          <w:sz w:val="22"/>
          <w:szCs w:val="22"/>
        </w:rPr>
        <w:t>En effet, les violences enregistrées en avril 2022 à Port au Prince ont entraîné le déplacement d’environ 19.000 personnes dont 52% seraient de femmes et filles et 52% auraient moins de 18 ans. Bien plus, ces violences auraient entraîné la fermeture de 78 écoles et 26 centres de santé (OIM, Système précoce pour les déplacements, 7-13 mai).</w:t>
      </w:r>
      <w:r w:rsidRPr="00E85B54">
        <w:rPr>
          <w:rFonts w:asciiTheme="minorHAnsi" w:hAnsiTheme="minorHAnsi" w:cstheme="minorHAnsi"/>
          <w:sz w:val="22"/>
          <w:szCs w:val="22"/>
        </w:rPr>
        <w:t xml:space="preserve"> Dans une </w:t>
      </w:r>
      <w:hyperlink r:id="rId9">
        <w:r w:rsidRPr="007B2E53">
          <w:rPr>
            <w:rFonts w:asciiTheme="minorHAnsi" w:hAnsiTheme="minorHAnsi" w:cstheme="minorHAnsi"/>
            <w:sz w:val="22"/>
            <w:szCs w:val="22"/>
          </w:rPr>
          <w:t xml:space="preserve">enquête rapide réalisée par le PAM en septembre 2022 </w:t>
        </w:r>
      </w:hyperlink>
      <w:r w:rsidRPr="007B2E53">
        <w:rPr>
          <w:rFonts w:asciiTheme="minorHAnsi" w:hAnsiTheme="minorHAnsi" w:cstheme="minorHAnsi"/>
          <w:sz w:val="22"/>
          <w:szCs w:val="22"/>
        </w:rPr>
        <w:t xml:space="preserve"> </w:t>
      </w:r>
      <w:r w:rsidRPr="00E85B54">
        <w:rPr>
          <w:rFonts w:asciiTheme="minorHAnsi" w:hAnsiTheme="minorHAnsi" w:cstheme="minorHAnsi"/>
          <w:sz w:val="22"/>
          <w:szCs w:val="22"/>
        </w:rPr>
        <w:t>dans la commune de Cité soleil du département de l’Ouest, les indicateurs de sécurité alimentaire des ménages sont à des niveaux inquiétants dans l’ensemble des trois quartiers de la commune de Cité soleil visitée.  Au total 3523 ménages ont été enquêtés sur trois quartiers (</w:t>
      </w:r>
      <w:proofErr w:type="spellStart"/>
      <w:r w:rsidRPr="00E85B54">
        <w:rPr>
          <w:rFonts w:asciiTheme="minorHAnsi" w:hAnsiTheme="minorHAnsi" w:cstheme="minorHAnsi"/>
          <w:sz w:val="22"/>
          <w:szCs w:val="22"/>
        </w:rPr>
        <w:t>Belecourt</w:t>
      </w:r>
      <w:proofErr w:type="spellEnd"/>
      <w:r w:rsidRPr="00E85B54">
        <w:rPr>
          <w:rFonts w:asciiTheme="minorHAnsi" w:hAnsiTheme="minorHAnsi" w:cstheme="minorHAnsi"/>
          <w:sz w:val="22"/>
          <w:szCs w:val="22"/>
        </w:rPr>
        <w:t xml:space="preserve"> : 1279 ménages, Brooklyn 993 ménages et Boston 1251 ménages). Les résultats d’analyse montrent que dans </w:t>
      </w:r>
      <w:r w:rsidRPr="00E85B54">
        <w:rPr>
          <w:rFonts w:asciiTheme="minorHAnsi" w:hAnsiTheme="minorHAnsi" w:cstheme="minorHAnsi"/>
          <w:sz w:val="22"/>
          <w:szCs w:val="22"/>
        </w:rPr>
        <w:lastRenderedPageBreak/>
        <w:t>l’ensemble, 28% des ménages sont dirigés par des hommes et 72% par des femmes. Durant le mois de juillet, 87.5% des ménages de Brooklyn ont affirmé avoir été confiné dans leur maison car empêché de sortir pour s’alimenter ou s’approvisionner en nourriture, à la suite des pics de violences intervenues dans la zone, une situation qui affecte encore plus les femmes cheffes de ménages vivant du secteur informel.</w:t>
      </w:r>
      <w:r w:rsidRPr="00E85B54" w:rsidR="00644225">
        <w:rPr>
          <w:rFonts w:asciiTheme="minorHAnsi" w:hAnsiTheme="minorHAnsi" w:cstheme="minorHAnsi"/>
          <w:sz w:val="22"/>
          <w:szCs w:val="22"/>
        </w:rPr>
        <w:t xml:space="preserve"> </w:t>
      </w:r>
      <w:r w:rsidRPr="00E85B54" w:rsidR="00444D6D">
        <w:rPr>
          <w:rFonts w:asciiTheme="minorHAnsi" w:hAnsiTheme="minorHAnsi" w:cstheme="minorHAnsi"/>
          <w:sz w:val="22"/>
          <w:szCs w:val="22"/>
        </w:rPr>
        <w:t>Par ailleurs, selon un rapport publié par le Haut-Commissariat aux Droits de l’Homme en octobre 2022, la violence armée a accru le risque de violence à l’égard des femmes et des filles, notamment la violence sexuelle dont plusieurs cas sont rapportés dans les quartiers sous le contrôle ou l’influence des gangs armés. La violence sexuelle à l’égard des femmes et des filles est en général utilisée comme une arme de guerre, d’intimidation, de contrôle territoriale et de domination par ces gangs armés.</w:t>
      </w:r>
    </w:p>
    <w:p w:rsidRPr="00E85B54" w:rsidR="00BB03D2" w:rsidRDefault="00D766FD" w14:paraId="40AA731B" w14:textId="5D6D097E">
      <w:pPr>
        <w:jc w:val="both"/>
        <w:rPr>
          <w:rFonts w:asciiTheme="minorHAnsi" w:hAnsiTheme="minorHAnsi" w:cstheme="minorHAnsi"/>
          <w:sz w:val="22"/>
          <w:szCs w:val="22"/>
        </w:rPr>
      </w:pPr>
      <w:r w:rsidRPr="00E85B54">
        <w:rPr>
          <w:rFonts w:asciiTheme="minorHAnsi" w:hAnsiTheme="minorHAnsi" w:cstheme="minorHAnsi"/>
          <w:sz w:val="22"/>
          <w:szCs w:val="22"/>
        </w:rPr>
        <w:t>Dans une enquête menée par le Réseau pour l’Égalité du Genre en Action humanitaire (REGAH), sur 57 organisations féminines et féministes, il ressort que les OSC restent des entités de proximité intervenant à majorité au niveau communal (53%) et départemental (35%). Le Conseil d’administration des OSC est composé en moyenne de 8 personnes dont 7 de sexe féminin avec des membres à majorité de sexe féminin. 86% des répondants à l'enquête indiquent que leurs OSC sont partiellement opérationnelles en raison de la crise sécuritaire ; seules 11% sont pleinement opérationnelles. Les OSC ont dû procéder à des ajustements significatifs de leurs programmes et opérations en réponse à la crise. Aussi, elles sont confrontées à une variété de défis opérationnels, notamment un manque de financement, des problèmes de chaîne d'approvisionnement et une capacité réduite à se déplacer dans les communautés pour soutenir leurs bénéficiaires. Leurs membres sont exposés aux kidnappings (46%), violences basées sur le genre (VBG). Ces difficultés les empêchent d’influencer la réponse humanitaire malgré leur travail sur le terrain.</w:t>
      </w:r>
    </w:p>
    <w:p w:rsidR="00F2789C" w:rsidRDefault="00F2789C" w14:paraId="248F3719" w14:textId="77777777">
      <w:pPr>
        <w:jc w:val="both"/>
        <w:rPr>
          <w:rFonts w:asciiTheme="minorHAnsi" w:hAnsiTheme="minorHAnsi" w:cstheme="minorBidi"/>
          <w:sz w:val="22"/>
          <w:szCs w:val="22"/>
        </w:rPr>
      </w:pPr>
    </w:p>
    <w:p w:rsidR="00BB03D2" w:rsidRDefault="004313E8" w14:paraId="58E2E240" w14:textId="142FD0D4">
      <w:pPr>
        <w:jc w:val="both"/>
        <w:rPr>
          <w:rFonts w:asciiTheme="minorHAnsi" w:hAnsiTheme="minorHAnsi" w:cstheme="minorHAnsi"/>
        </w:rPr>
      </w:pPr>
      <w:r>
        <w:rPr>
          <w:rFonts w:asciiTheme="minorHAnsi" w:hAnsiTheme="minorHAnsi" w:cstheme="minorBidi"/>
          <w:sz w:val="22"/>
          <w:szCs w:val="22"/>
        </w:rPr>
        <w:t xml:space="preserve">Le fond vise à renforcer leur rôle en tant qu’actrices et force de changement.  </w:t>
      </w:r>
      <w:r w:rsidR="006508AD">
        <w:rPr>
          <w:rFonts w:asciiTheme="minorHAnsi" w:hAnsiTheme="minorHAnsi" w:cstheme="minorBidi"/>
          <w:sz w:val="22"/>
          <w:szCs w:val="22"/>
        </w:rPr>
        <w:t>L’</w:t>
      </w:r>
      <w:r w:rsidRPr="00C77323" w:rsidR="006508AD">
        <w:rPr>
          <w:rFonts w:asciiTheme="minorHAnsi" w:hAnsiTheme="minorHAnsi" w:cstheme="minorBidi"/>
          <w:sz w:val="22"/>
          <w:szCs w:val="22"/>
        </w:rPr>
        <w:t>appel</w:t>
      </w:r>
      <w:r w:rsidRPr="00C77323" w:rsidR="00505A79">
        <w:rPr>
          <w:rFonts w:asciiTheme="minorHAnsi" w:hAnsiTheme="minorHAnsi" w:cstheme="minorBidi"/>
          <w:sz w:val="22"/>
          <w:szCs w:val="22"/>
        </w:rPr>
        <w:t xml:space="preserve"> à proposition est conçu pour permettre aux organisations de la société civile </w:t>
      </w:r>
      <w:r w:rsidRPr="00C77323" w:rsidR="006508AD">
        <w:rPr>
          <w:rFonts w:asciiTheme="minorHAnsi" w:hAnsiTheme="minorHAnsi" w:cstheme="minorBidi"/>
          <w:sz w:val="22"/>
          <w:szCs w:val="22"/>
        </w:rPr>
        <w:t>de répondre</w:t>
      </w:r>
      <w:r w:rsidR="00505A79">
        <w:rPr>
          <w:rFonts w:asciiTheme="minorHAnsi" w:hAnsiTheme="minorHAnsi" w:cstheme="minorBidi"/>
          <w:sz w:val="22"/>
          <w:szCs w:val="22"/>
        </w:rPr>
        <w:t xml:space="preserve"> </w:t>
      </w:r>
      <w:r w:rsidRPr="00C77323" w:rsidR="00505A79">
        <w:rPr>
          <w:rFonts w:asciiTheme="minorHAnsi" w:hAnsiTheme="minorHAnsi" w:cstheme="minorBidi"/>
          <w:sz w:val="22"/>
          <w:szCs w:val="22"/>
        </w:rPr>
        <w:t xml:space="preserve">aux nouvelles contraintes sanitaire et sécuritaire à travers le financement d'activités flexibles. Il s’agit également de i) renforcer l’influence des OSC dans </w:t>
      </w:r>
      <w:r>
        <w:rPr>
          <w:rFonts w:asciiTheme="minorHAnsi" w:hAnsiTheme="minorHAnsi" w:cstheme="minorBidi"/>
          <w:sz w:val="22"/>
          <w:szCs w:val="22"/>
        </w:rPr>
        <w:t>l’action humanitaire</w:t>
      </w:r>
      <w:r w:rsidRPr="00C77323" w:rsidR="00505A79">
        <w:rPr>
          <w:rFonts w:asciiTheme="minorHAnsi" w:hAnsiTheme="minorHAnsi" w:cstheme="minorBidi"/>
          <w:sz w:val="22"/>
          <w:szCs w:val="22"/>
        </w:rPr>
        <w:t> ; ii</w:t>
      </w:r>
      <w:r w:rsidRPr="00C77323" w:rsidR="006508AD">
        <w:rPr>
          <w:rFonts w:asciiTheme="minorHAnsi" w:hAnsiTheme="minorHAnsi" w:cstheme="minorBidi"/>
          <w:sz w:val="22"/>
          <w:szCs w:val="22"/>
        </w:rPr>
        <w:t>)</w:t>
      </w:r>
      <w:r w:rsidR="006508AD">
        <w:rPr>
          <w:rFonts w:asciiTheme="minorHAnsi" w:hAnsiTheme="minorHAnsi" w:cstheme="minorBidi"/>
          <w:sz w:val="22"/>
          <w:szCs w:val="22"/>
        </w:rPr>
        <w:t xml:space="preserve"> </w:t>
      </w:r>
      <w:r w:rsidRPr="00C77323" w:rsidR="006508AD">
        <w:rPr>
          <w:rFonts w:asciiTheme="minorHAnsi" w:hAnsiTheme="minorHAnsi" w:cstheme="minorBidi"/>
          <w:sz w:val="22"/>
          <w:szCs w:val="22"/>
        </w:rPr>
        <w:t>renforcer</w:t>
      </w:r>
      <w:r w:rsidRPr="00C77323" w:rsidR="00505A79">
        <w:rPr>
          <w:rFonts w:asciiTheme="minorHAnsi" w:hAnsiTheme="minorHAnsi" w:cstheme="minorBidi"/>
          <w:sz w:val="22"/>
          <w:szCs w:val="22"/>
        </w:rPr>
        <w:t xml:space="preserve"> leur expertise dans la fourniture de services essentiels aux femmes et filles </w:t>
      </w:r>
      <w:r w:rsidRPr="004313E8">
        <w:rPr>
          <w:rFonts w:asciiTheme="minorHAnsi" w:hAnsiTheme="minorHAnsi" w:cstheme="minorBidi"/>
          <w:sz w:val="22"/>
          <w:szCs w:val="22"/>
        </w:rPr>
        <w:t>affectées</w:t>
      </w:r>
      <w:r w:rsidRPr="00C77323" w:rsidR="00505A79">
        <w:rPr>
          <w:rFonts w:asciiTheme="minorHAnsi" w:hAnsiTheme="minorHAnsi" w:cstheme="minorBidi"/>
          <w:sz w:val="22"/>
          <w:szCs w:val="22"/>
        </w:rPr>
        <w:t xml:space="preserve"> par les situations de conflit ; et de iii) de contribuer au relèvement des familles </w:t>
      </w:r>
      <w:r w:rsidR="00505A79">
        <w:rPr>
          <w:rFonts w:asciiTheme="minorHAnsi" w:hAnsiTheme="minorHAnsi" w:cstheme="minorBidi"/>
          <w:sz w:val="22"/>
          <w:szCs w:val="22"/>
        </w:rPr>
        <w:t>décapitalisées</w:t>
      </w:r>
      <w:r w:rsidRPr="00C77323" w:rsidR="00505A79">
        <w:rPr>
          <w:rFonts w:asciiTheme="minorHAnsi" w:hAnsiTheme="minorHAnsi" w:cstheme="minorBidi"/>
          <w:sz w:val="22"/>
          <w:szCs w:val="22"/>
        </w:rPr>
        <w:t xml:space="preserve"> dû au </w:t>
      </w:r>
      <w:r w:rsidR="00505A79">
        <w:rPr>
          <w:rFonts w:asciiTheme="minorHAnsi" w:hAnsiTheme="minorHAnsi" w:cstheme="minorBidi"/>
          <w:sz w:val="22"/>
          <w:szCs w:val="22"/>
        </w:rPr>
        <w:t>déplacement</w:t>
      </w:r>
      <w:r w:rsidRPr="00C77323" w:rsidR="00505A79">
        <w:rPr>
          <w:rFonts w:asciiTheme="minorHAnsi" w:hAnsiTheme="minorHAnsi" w:cstheme="minorBidi"/>
          <w:sz w:val="22"/>
          <w:szCs w:val="22"/>
        </w:rPr>
        <w:t xml:space="preserve"> et d’autres contraintes majeures. Il est attendu des stratégies durables, contextuelles, innovantes et efficaces facilitant la participation et influence des OSC des femmes dans les cadres de prise de décision ; actions de plaidoyer</w:t>
      </w:r>
      <w:r>
        <w:rPr>
          <w:rFonts w:asciiTheme="minorHAnsi" w:hAnsiTheme="minorHAnsi" w:cstheme="minorBidi"/>
          <w:sz w:val="22"/>
          <w:szCs w:val="22"/>
        </w:rPr>
        <w:t>. Un accent sera mis sur le</w:t>
      </w:r>
      <w:r w:rsidRPr="00C77323" w:rsidR="00505A79">
        <w:rPr>
          <w:rFonts w:asciiTheme="minorHAnsi" w:hAnsiTheme="minorHAnsi" w:cstheme="minorBidi"/>
          <w:sz w:val="22"/>
          <w:szCs w:val="22"/>
        </w:rPr>
        <w:t xml:space="preserve"> renforcement de réseaux pour une approche coordonnée, cohérente et visible des OSC dans l’action</w:t>
      </w:r>
      <w:r>
        <w:rPr>
          <w:rFonts w:asciiTheme="minorHAnsi" w:hAnsiTheme="minorHAnsi" w:cstheme="minorBidi"/>
          <w:sz w:val="22"/>
          <w:szCs w:val="22"/>
        </w:rPr>
        <w:t xml:space="preserve"> humanitaire et contextes de conflits. Il est également question de capitaliser sur les initiatives déjà existantes</w:t>
      </w:r>
      <w:r w:rsidR="007B2E53">
        <w:rPr>
          <w:rFonts w:asciiTheme="minorHAnsi" w:hAnsiTheme="minorHAnsi" w:cstheme="minorBidi"/>
          <w:sz w:val="22"/>
          <w:szCs w:val="22"/>
        </w:rPr>
        <w:t xml:space="preserve"> notamment des synergies avec les actions soutenues par l’Initiative Spotlight et le Fonds pour la Consolidation de la Paix (PBF).</w:t>
      </w:r>
    </w:p>
    <w:p w:rsidR="00BB03D2" w:rsidRDefault="00BB03D2" w14:paraId="130EA65E" w14:textId="77777777">
      <w:pPr>
        <w:jc w:val="both"/>
        <w:rPr>
          <w:rFonts w:asciiTheme="minorHAnsi" w:hAnsiTheme="minorHAnsi" w:cstheme="minorHAnsi"/>
          <w:sz w:val="22"/>
          <w:szCs w:val="22"/>
        </w:rPr>
      </w:pPr>
    </w:p>
    <w:p w:rsidR="00BB03D2" w:rsidRDefault="004F4B70" w14:paraId="341113F4" w14:textId="77777777">
      <w:pPr>
        <w:pStyle w:val="Paragraphedeliste1"/>
        <w:numPr>
          <w:ilvl w:val="0"/>
          <w:numId w:val="3"/>
        </w:numPr>
        <w:spacing w:after="0" w:line="240" w:lineRule="auto"/>
        <w:jc w:val="both"/>
        <w:rPr>
          <w:rFonts w:asciiTheme="minorHAnsi" w:hAnsiTheme="minorHAnsi" w:eastAsiaTheme="minorHAnsi" w:cstheme="minorBidi"/>
          <w:b/>
          <w:color w:val="009FE4"/>
          <w:sz w:val="24"/>
          <w:szCs w:val="24"/>
          <w:lang w:val="fr-FR" w:eastAsia="en-US"/>
        </w:rPr>
      </w:pPr>
      <w:r>
        <w:rPr>
          <w:rFonts w:asciiTheme="minorHAnsi" w:hAnsiTheme="minorHAnsi" w:eastAsiaTheme="minorHAnsi" w:cstheme="minorBidi"/>
          <w:b/>
          <w:color w:val="009FE4"/>
          <w:sz w:val="24"/>
          <w:szCs w:val="24"/>
          <w:lang w:val="fr-FR" w:eastAsia="en-US"/>
        </w:rPr>
        <w:t>Champ d’application (lieu et durée)</w:t>
      </w:r>
    </w:p>
    <w:p w:rsidR="00BB03D2" w:rsidRDefault="004F4B70" w14:paraId="0E374D23" w14:textId="77777777">
      <w:pPr>
        <w:rPr>
          <w:rFonts w:asciiTheme="minorHAnsi" w:hAnsiTheme="minorHAnsi" w:cstheme="minorBidi"/>
          <w:sz w:val="22"/>
          <w:szCs w:val="22"/>
        </w:rPr>
      </w:pPr>
      <w:r>
        <w:rPr>
          <w:rFonts w:asciiTheme="minorHAnsi" w:hAnsiTheme="minorHAnsi" w:cstheme="minorBidi"/>
          <w:sz w:val="22"/>
          <w:szCs w:val="22"/>
        </w:rPr>
        <w:t xml:space="preserve">Le WPHF financera des projets éligibles dans n'importe quel endroit du </w:t>
      </w:r>
      <w:r w:rsidRPr="003D0621">
        <w:rPr>
          <w:rFonts w:asciiTheme="minorHAnsi" w:hAnsiTheme="minorHAnsi" w:cstheme="minorBidi"/>
          <w:sz w:val="22"/>
          <w:szCs w:val="22"/>
        </w:rPr>
        <w:t>PAYS.</w:t>
      </w:r>
    </w:p>
    <w:p w:rsidR="00BB03D2" w:rsidRDefault="004F4B70" w14:paraId="7A96F4DA" w14:textId="4B232E23">
      <w:pPr>
        <w:rPr>
          <w:rFonts w:asciiTheme="minorHAnsi" w:hAnsiTheme="minorHAnsi" w:cstheme="minorBidi"/>
          <w:sz w:val="22"/>
          <w:szCs w:val="22"/>
        </w:rPr>
      </w:pPr>
      <w:r>
        <w:rPr>
          <w:rFonts w:asciiTheme="minorHAnsi" w:hAnsiTheme="minorHAnsi" w:cstheme="minorBidi"/>
          <w:sz w:val="22"/>
          <w:szCs w:val="22"/>
        </w:rPr>
        <w:t>Les projets multi-pays ou les projets en dehors du territoire national ne seront PAS acceptés.</w:t>
      </w:r>
    </w:p>
    <w:p w:rsidR="00BB03D2" w:rsidRDefault="00BB03D2" w14:paraId="0C3C57CB" w14:textId="77777777">
      <w:pPr>
        <w:rPr>
          <w:rFonts w:asciiTheme="minorHAnsi" w:hAnsiTheme="minorHAnsi" w:cstheme="minorBidi"/>
          <w:sz w:val="22"/>
          <w:szCs w:val="22"/>
        </w:rPr>
      </w:pPr>
    </w:p>
    <w:p w:rsidR="00BB03D2" w:rsidRDefault="004F4B70" w14:paraId="0200BF52" w14:textId="1FADD2D4">
      <w:pPr>
        <w:rPr>
          <w:rFonts w:asciiTheme="minorHAnsi" w:hAnsiTheme="minorHAnsi" w:cstheme="minorBidi"/>
          <w:sz w:val="22"/>
          <w:szCs w:val="22"/>
        </w:rPr>
      </w:pPr>
      <w:r>
        <w:rPr>
          <w:rFonts w:asciiTheme="minorHAnsi" w:hAnsiTheme="minorHAnsi" w:cstheme="minorBidi"/>
          <w:sz w:val="22"/>
          <w:szCs w:val="22"/>
        </w:rPr>
        <w:t xml:space="preserve">Toutes les organisations de la société civile peuvent postuler pour des subventions d’une durée maximale de 1 an à l’exception des organisations retenues dans le cadre de l’appel à propositions ciblé. </w:t>
      </w:r>
    </w:p>
    <w:p w:rsidR="00BB03D2" w:rsidRDefault="00BB03D2" w14:paraId="71B86595" w14:textId="77777777">
      <w:pPr>
        <w:jc w:val="both"/>
        <w:rPr>
          <w:rFonts w:asciiTheme="minorHAnsi" w:hAnsiTheme="minorHAnsi" w:cstheme="minorHAnsi"/>
        </w:rPr>
      </w:pPr>
    </w:p>
    <w:p w:rsidR="00BB03D2" w:rsidRDefault="004F4B70" w14:paraId="4A1DF932" w14:textId="77777777">
      <w:pPr>
        <w:pStyle w:val="Paragraphedeliste1"/>
        <w:numPr>
          <w:ilvl w:val="0"/>
          <w:numId w:val="3"/>
        </w:numPr>
        <w:spacing w:after="0" w:line="240" w:lineRule="auto"/>
        <w:rPr>
          <w:rFonts w:asciiTheme="minorHAnsi" w:hAnsiTheme="minorHAnsi" w:eastAsiaTheme="minorHAnsi" w:cstheme="minorBidi"/>
          <w:b/>
          <w:color w:val="009FE4"/>
          <w:sz w:val="24"/>
          <w:szCs w:val="24"/>
          <w:lang w:val="fr-FR" w:eastAsia="en-US"/>
        </w:rPr>
      </w:pPr>
      <w:r>
        <w:rPr>
          <w:rFonts w:asciiTheme="minorHAnsi" w:hAnsiTheme="minorHAnsi" w:eastAsiaTheme="minorHAnsi" w:cstheme="minorBidi"/>
          <w:b/>
          <w:color w:val="009FE4"/>
          <w:sz w:val="24"/>
          <w:szCs w:val="24"/>
          <w:lang w:val="fr-FR" w:eastAsia="en-US"/>
        </w:rPr>
        <w:t>Admissibilité</w:t>
      </w:r>
    </w:p>
    <w:p w:rsidR="00BB03D2" w:rsidRDefault="00C67F0A" w14:paraId="7AEDCB80" w14:textId="3E54E5B2">
      <w:pPr>
        <w:jc w:val="both"/>
        <w:rPr>
          <w:rFonts w:asciiTheme="minorHAnsi" w:hAnsiTheme="minorHAnsi" w:cstheme="minorBidi"/>
          <w:sz w:val="22"/>
          <w:szCs w:val="22"/>
        </w:rPr>
      </w:pPr>
      <w:r>
        <w:rPr>
          <w:rFonts w:asciiTheme="minorHAnsi" w:hAnsiTheme="minorHAnsi" w:cstheme="minorBidi"/>
          <w:sz w:val="22"/>
          <w:szCs w:val="22"/>
        </w:rPr>
        <w:t>Peuvent poser leur candidature, le</w:t>
      </w:r>
      <w:r w:rsidR="004F4B70">
        <w:rPr>
          <w:rFonts w:asciiTheme="minorHAnsi" w:hAnsiTheme="minorHAnsi" w:cstheme="minorBidi"/>
          <w:sz w:val="22"/>
          <w:szCs w:val="22"/>
        </w:rPr>
        <w:t>s organisations</w:t>
      </w:r>
      <w:r>
        <w:rPr>
          <w:rFonts w:asciiTheme="minorHAnsi" w:hAnsiTheme="minorHAnsi" w:cstheme="minorBidi"/>
          <w:sz w:val="22"/>
          <w:szCs w:val="22"/>
        </w:rPr>
        <w:t xml:space="preserve"> de défense des droits des femmes, des droits des jeunes féministes et dirigées par des femmes ou des jeunes femmes, qui sont enregistrées en </w:t>
      </w:r>
      <w:r w:rsidR="003D0621">
        <w:rPr>
          <w:rFonts w:asciiTheme="minorHAnsi" w:hAnsiTheme="minorHAnsi" w:cstheme="minorBidi"/>
          <w:sz w:val="22"/>
          <w:szCs w:val="22"/>
        </w:rPr>
        <w:t>Haïti</w:t>
      </w:r>
      <w:r>
        <w:rPr>
          <w:rFonts w:asciiTheme="minorHAnsi" w:hAnsiTheme="minorHAnsi" w:cstheme="minorBidi"/>
          <w:sz w:val="22"/>
          <w:szCs w:val="22"/>
        </w:rPr>
        <w:t xml:space="preserve"> et qui interviennent au niveau national, départemental, r</w:t>
      </w:r>
      <w:r w:rsidR="004F4B70">
        <w:rPr>
          <w:rFonts w:asciiTheme="minorHAnsi" w:hAnsiTheme="minorHAnsi" w:cstheme="minorBidi"/>
          <w:sz w:val="22"/>
          <w:szCs w:val="22"/>
        </w:rPr>
        <w:t>égional</w:t>
      </w:r>
      <w:r>
        <w:rPr>
          <w:rFonts w:asciiTheme="minorHAnsi" w:hAnsiTheme="minorHAnsi" w:cstheme="minorBidi"/>
          <w:sz w:val="22"/>
          <w:szCs w:val="22"/>
        </w:rPr>
        <w:t xml:space="preserve"> (plusieurs départements) ou local (communal, section communale). Ces </w:t>
      </w:r>
      <w:r w:rsidR="004F4B70">
        <w:rPr>
          <w:rFonts w:asciiTheme="minorHAnsi" w:hAnsiTheme="minorHAnsi" w:cstheme="minorBidi"/>
          <w:sz w:val="22"/>
          <w:szCs w:val="22"/>
        </w:rPr>
        <w:t xml:space="preserve">organisations </w:t>
      </w:r>
      <w:r>
        <w:rPr>
          <w:rFonts w:asciiTheme="minorHAnsi" w:hAnsiTheme="minorHAnsi" w:cstheme="minorBidi"/>
          <w:sz w:val="22"/>
          <w:szCs w:val="22"/>
        </w:rPr>
        <w:t xml:space="preserve">doivent </w:t>
      </w:r>
      <w:r w:rsidR="004F4B70">
        <w:rPr>
          <w:rFonts w:asciiTheme="minorHAnsi" w:hAnsiTheme="minorHAnsi" w:cstheme="minorBidi"/>
          <w:sz w:val="22"/>
          <w:szCs w:val="22"/>
        </w:rPr>
        <w:t>fai</w:t>
      </w:r>
      <w:r>
        <w:rPr>
          <w:rFonts w:asciiTheme="minorHAnsi" w:hAnsiTheme="minorHAnsi" w:cstheme="minorBidi"/>
          <w:sz w:val="22"/>
          <w:szCs w:val="22"/>
        </w:rPr>
        <w:t>re</w:t>
      </w:r>
      <w:r w:rsidR="004F4B70">
        <w:rPr>
          <w:rFonts w:asciiTheme="minorHAnsi" w:hAnsiTheme="minorHAnsi" w:cstheme="minorBidi"/>
          <w:sz w:val="22"/>
          <w:szCs w:val="22"/>
        </w:rPr>
        <w:t xml:space="preserve"> preuve d’une expérience avérée de travail avec les femmes et les filles. Les projets conjoints sont autorisés et encouragés.</w:t>
      </w:r>
    </w:p>
    <w:p w:rsidR="00BB03D2" w:rsidRDefault="00BB03D2" w14:paraId="4622F9FF" w14:textId="77777777">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62"/>
      </w:tblGrid>
      <w:tr w:rsidR="00BB03D2" w14:paraId="045AB62E" w14:textId="77777777">
        <w:tc>
          <w:tcPr>
            <w:tcW w:w="9062" w:type="dxa"/>
            <w:shd w:val="clear" w:color="auto" w:fill="D9E2F3" w:themeFill="accent1" w:themeFillTint="33"/>
          </w:tcPr>
          <w:p w:rsidRPr="00644225" w:rsidR="00BB03D2" w:rsidRDefault="004F4B70" w14:paraId="46DD804E" w14:textId="77777777">
            <w:pPr>
              <w:rPr>
                <w:rFonts w:asciiTheme="minorHAnsi" w:hAnsiTheme="minorHAnsi" w:cstheme="minorHAnsi"/>
                <w:sz w:val="20"/>
                <w:szCs w:val="20"/>
                <w:lang w:val="fr-FR"/>
              </w:rPr>
            </w:pPr>
            <w:r w:rsidRPr="00644225">
              <w:rPr>
                <w:rFonts w:asciiTheme="minorHAnsi" w:hAnsiTheme="minorHAnsi" w:cstheme="minorHAnsi"/>
                <w:b/>
                <w:bCs/>
                <w:sz w:val="20"/>
                <w:szCs w:val="20"/>
                <w:lang w:val="fr-FR"/>
              </w:rPr>
              <w:t xml:space="preserve">Droits des femmes ou organisation féministe : </w:t>
            </w:r>
            <w:r w:rsidRPr="00644225">
              <w:rPr>
                <w:rFonts w:asciiTheme="minorHAnsi" w:hAnsiTheme="minorHAnsi" w:cstheme="minorHAnsi"/>
                <w:sz w:val="20"/>
                <w:szCs w:val="20"/>
                <w:lang w:val="fr-FR"/>
              </w:rPr>
              <w:t>L’énoncé officiel de mission ou de vision de l’organisation doit refléter son engagement à lutter contre les formes multiples ou croisées de discrimination et à faire progresser l’égalité des genres et les droits des femmes. L'organisation doit œuvrer à la transformation des facteurs/systèmes/structures sous-jacents, notamment le patriarcat et la dynamique du pouvoir entre les sexes, qui perpétuent les violences basées sur le genre.</w:t>
            </w:r>
          </w:p>
          <w:p w:rsidRPr="00644225" w:rsidR="00BB03D2" w:rsidRDefault="00BB03D2" w14:paraId="3A9013EB" w14:textId="77777777">
            <w:pPr>
              <w:rPr>
                <w:rFonts w:asciiTheme="minorHAnsi" w:hAnsiTheme="minorHAnsi" w:cstheme="minorHAnsi"/>
                <w:sz w:val="20"/>
                <w:szCs w:val="20"/>
                <w:lang w:val="fr-FR"/>
              </w:rPr>
            </w:pPr>
          </w:p>
          <w:p w:rsidRPr="00644225" w:rsidR="00BB03D2" w:rsidRDefault="004F4B70" w14:paraId="4458E135" w14:textId="77777777">
            <w:pPr>
              <w:rPr>
                <w:rFonts w:asciiTheme="minorHAnsi" w:hAnsiTheme="minorHAnsi" w:cstheme="minorHAnsi"/>
                <w:sz w:val="20"/>
                <w:szCs w:val="20"/>
                <w:lang w:val="fr-FR"/>
              </w:rPr>
            </w:pPr>
            <w:r w:rsidRPr="00644225">
              <w:rPr>
                <w:rFonts w:asciiTheme="minorHAnsi" w:hAnsiTheme="minorHAnsi" w:cstheme="minorHAnsi"/>
                <w:b/>
                <w:bCs/>
                <w:sz w:val="20"/>
                <w:szCs w:val="20"/>
                <w:lang w:val="fr-FR"/>
              </w:rPr>
              <w:t xml:space="preserve">Organisation dirigée par des femmes : </w:t>
            </w:r>
            <w:r w:rsidRPr="00644225">
              <w:rPr>
                <w:rFonts w:asciiTheme="minorHAnsi" w:hAnsiTheme="minorHAnsi" w:cstheme="minorHAnsi"/>
                <w:sz w:val="20"/>
                <w:szCs w:val="20"/>
                <w:lang w:val="fr-FR"/>
              </w:rPr>
              <w:t>doit être dirigé par une femme en tant que directeur/chef d’organisation.</w:t>
            </w:r>
          </w:p>
          <w:p w:rsidRPr="00644225" w:rsidR="00BB03D2" w:rsidRDefault="00BB03D2" w14:paraId="20C488FF" w14:textId="77777777">
            <w:pPr>
              <w:jc w:val="both"/>
              <w:rPr>
                <w:rFonts w:asciiTheme="minorHAnsi" w:hAnsiTheme="minorHAnsi" w:cstheme="minorHAnsi"/>
                <w:sz w:val="20"/>
                <w:szCs w:val="20"/>
                <w:lang w:val="fr-FR"/>
              </w:rPr>
            </w:pPr>
          </w:p>
          <w:p w:rsidRPr="00644225" w:rsidR="00BB03D2" w:rsidRDefault="004F4B70" w14:paraId="2EC850D7" w14:textId="77777777">
            <w:pPr>
              <w:jc w:val="both"/>
              <w:rPr>
                <w:rFonts w:asciiTheme="minorHAnsi" w:hAnsiTheme="minorHAnsi" w:cstheme="minorHAnsi"/>
                <w:b/>
                <w:bCs/>
                <w:sz w:val="20"/>
                <w:szCs w:val="20"/>
                <w:lang w:val="fr-FR"/>
              </w:rPr>
            </w:pPr>
            <w:r w:rsidRPr="00644225">
              <w:rPr>
                <w:rFonts w:asciiTheme="minorHAnsi" w:hAnsiTheme="minorHAnsi" w:cstheme="minorHAnsi"/>
                <w:b/>
                <w:bCs/>
                <w:sz w:val="20"/>
                <w:szCs w:val="20"/>
                <w:lang w:val="fr-FR"/>
              </w:rPr>
              <w:t xml:space="preserve">Organisation axée sur les jeunes : </w:t>
            </w:r>
            <w:r w:rsidRPr="00644225">
              <w:rPr>
                <w:rFonts w:asciiTheme="minorHAnsi" w:hAnsiTheme="minorHAnsi" w:cstheme="minorHAnsi"/>
                <w:sz w:val="20"/>
                <w:szCs w:val="20"/>
                <w:lang w:val="fr-FR"/>
              </w:rPr>
              <w:t xml:space="preserve">Pour être considérée « axée sur les jeunes », la mission et la vision fondamentales de l’organisation doivent être axées sur le soutien à la participation sociale, économique et </w:t>
            </w:r>
            <w:r>
              <w:rPr>
                <w:rFonts w:ascii="Calibri" w:hAnsi="Calibri" w:cs="Calibri"/>
                <w:color w:val="000000" w:themeColor="text1"/>
                <w:sz w:val="20"/>
                <w:szCs w:val="20"/>
                <w:lang w:val="fr-CH"/>
              </w:rPr>
              <w:t xml:space="preserve">politique </w:t>
            </w:r>
            <w:r w:rsidRPr="00644225">
              <w:rPr>
                <w:rFonts w:asciiTheme="minorHAnsi" w:hAnsiTheme="minorHAnsi" w:cstheme="minorHAnsi"/>
                <w:sz w:val="20"/>
                <w:szCs w:val="20"/>
                <w:lang w:val="fr-FR"/>
              </w:rPr>
              <w:t>des jeunes femmes et des jeunes hommes et sur la lutte contre les formes multiples ou croisées de discrimination à l’égard des jeunes femmes et des jeunes hommes. WPHF accordera une attention particulière aux organisations axées sur la jeunesse qui soutiennent les jeunes femmes, font progresser l’égalité des sexes et la consolidation de la paix.</w:t>
            </w:r>
          </w:p>
          <w:p w:rsidRPr="00644225" w:rsidR="00BB03D2" w:rsidRDefault="00BB03D2" w14:paraId="55D21668" w14:textId="77777777">
            <w:pPr>
              <w:jc w:val="both"/>
              <w:rPr>
                <w:rFonts w:asciiTheme="minorHAnsi" w:hAnsiTheme="minorHAnsi" w:cstheme="minorHAnsi"/>
                <w:b/>
                <w:bCs/>
                <w:color w:val="000000" w:themeColor="text1"/>
                <w:sz w:val="20"/>
                <w:szCs w:val="20"/>
                <w:lang w:val="fr-FR"/>
              </w:rPr>
            </w:pPr>
          </w:p>
          <w:p w:rsidRPr="00644225" w:rsidR="00BB03D2" w:rsidRDefault="004F4B70" w14:paraId="77B26680" w14:textId="77777777">
            <w:pPr>
              <w:rPr>
                <w:rFonts w:asciiTheme="minorHAnsi" w:hAnsiTheme="minorHAnsi" w:cstheme="minorHAnsi"/>
                <w:sz w:val="20"/>
                <w:szCs w:val="20"/>
                <w:lang w:val="fr-FR"/>
              </w:rPr>
            </w:pPr>
            <w:r w:rsidRPr="00644225">
              <w:rPr>
                <w:rFonts w:asciiTheme="minorHAnsi" w:hAnsiTheme="minorHAnsi" w:cstheme="minorHAnsi"/>
                <w:b/>
                <w:bCs/>
                <w:sz w:val="20"/>
                <w:szCs w:val="20"/>
                <w:lang w:val="fr-FR"/>
              </w:rPr>
              <w:t xml:space="preserve">Organisation dirigée par des jeunes femmes : </w:t>
            </w:r>
            <w:r>
              <w:rPr>
                <w:rFonts w:asciiTheme="minorHAnsi" w:hAnsiTheme="minorHAnsi" w:cstheme="minorHAnsi"/>
                <w:sz w:val="20"/>
                <w:szCs w:val="20"/>
                <w:lang w:val="fr"/>
              </w:rPr>
              <w:t>doit être dirigé par un jeune âgé de 18 à 29 ans qui agit à titre de directeur/chef d’organisation</w:t>
            </w:r>
          </w:p>
          <w:p w:rsidRPr="00644225" w:rsidR="00BB03D2" w:rsidRDefault="00BB03D2" w14:paraId="12132AB9" w14:textId="77777777">
            <w:pPr>
              <w:rPr>
                <w:rFonts w:asciiTheme="minorHAnsi" w:hAnsiTheme="minorHAnsi" w:cstheme="minorHAnsi"/>
                <w:b/>
                <w:bCs/>
                <w:sz w:val="20"/>
                <w:szCs w:val="20"/>
                <w:lang w:val="fr-FR"/>
              </w:rPr>
            </w:pPr>
          </w:p>
        </w:tc>
      </w:tr>
    </w:tbl>
    <w:p w:rsidR="00BB03D2" w:rsidRDefault="00BB03D2" w14:paraId="270BB451" w14:textId="77777777">
      <w:pPr>
        <w:rPr>
          <w:rFonts w:asciiTheme="minorHAnsi" w:hAnsiTheme="minorHAnsi" w:cstheme="minorHAnsi"/>
        </w:rPr>
      </w:pPr>
    </w:p>
    <w:p w:rsidR="00BB03D2" w:rsidRDefault="004F4B70" w14:paraId="07114459" w14:textId="77777777">
      <w:pPr>
        <w:pStyle w:val="CommentText"/>
        <w:spacing w:after="0"/>
        <w:rPr>
          <w:rFonts w:asciiTheme="minorHAnsi" w:hAnsiTheme="minorHAnsi" w:cstheme="minorHAnsi"/>
          <w:sz w:val="22"/>
          <w:szCs w:val="22"/>
          <w:lang w:val="fr-FR"/>
        </w:rPr>
      </w:pPr>
      <w:r>
        <w:rPr>
          <w:rFonts w:asciiTheme="minorHAnsi" w:hAnsiTheme="minorHAnsi" w:cstheme="minorHAnsi"/>
          <w:sz w:val="22"/>
          <w:szCs w:val="22"/>
          <w:lang w:val="fr-FR"/>
        </w:rPr>
        <w:t xml:space="preserve">Les entités suivantes ne sont </w:t>
      </w:r>
      <w:r>
        <w:rPr>
          <w:rFonts w:asciiTheme="minorHAnsi" w:hAnsiTheme="minorHAnsi" w:cstheme="minorHAnsi"/>
          <w:b/>
          <w:bCs/>
          <w:sz w:val="22"/>
          <w:szCs w:val="22"/>
          <w:lang w:val="fr-FR"/>
        </w:rPr>
        <w:t>PAS</w:t>
      </w:r>
      <w:r>
        <w:rPr>
          <w:rFonts w:asciiTheme="minorHAnsi" w:hAnsiTheme="minorHAnsi" w:cstheme="minorHAnsi"/>
          <w:sz w:val="22"/>
          <w:szCs w:val="22"/>
          <w:lang w:val="fr-FR"/>
        </w:rPr>
        <w:t xml:space="preserve"> éligibles pour demander une subvention du WPHF :</w:t>
      </w:r>
    </w:p>
    <w:p w:rsidR="00BB03D2" w:rsidRDefault="004F4B70" w14:paraId="56D97578" w14:textId="77777777">
      <w:pPr>
        <w:pStyle w:val="CommentText"/>
        <w:numPr>
          <w:ilvl w:val="0"/>
          <w:numId w:val="4"/>
        </w:numPr>
        <w:spacing w:after="0"/>
        <w:rPr>
          <w:rFonts w:asciiTheme="minorHAnsi" w:hAnsiTheme="minorHAnsi" w:cstheme="minorHAnsi"/>
          <w:sz w:val="22"/>
          <w:szCs w:val="22"/>
          <w:lang w:val="fr-FR"/>
        </w:rPr>
      </w:pPr>
      <w:r>
        <w:rPr>
          <w:rFonts w:asciiTheme="minorHAnsi" w:hAnsiTheme="minorHAnsi" w:cstheme="minorHAnsi"/>
          <w:sz w:val="22"/>
          <w:szCs w:val="22"/>
          <w:lang w:val="fr-FR"/>
        </w:rPr>
        <w:t>Les agences ou institutions gouvernementales ;</w:t>
      </w:r>
    </w:p>
    <w:p w:rsidR="00BB03D2" w:rsidRDefault="004F4B70" w14:paraId="6F7C53A8" w14:textId="77777777">
      <w:pPr>
        <w:pStyle w:val="CommentText"/>
        <w:numPr>
          <w:ilvl w:val="0"/>
          <w:numId w:val="4"/>
        </w:numPr>
        <w:spacing w:after="0"/>
        <w:rPr>
          <w:rFonts w:asciiTheme="minorHAnsi" w:hAnsiTheme="minorHAnsi" w:cstheme="minorHAnsi"/>
          <w:sz w:val="22"/>
          <w:szCs w:val="22"/>
          <w:lang w:val="fr-FR"/>
        </w:rPr>
      </w:pPr>
      <w:r>
        <w:rPr>
          <w:rFonts w:asciiTheme="minorHAnsi" w:hAnsiTheme="minorHAnsi" w:cstheme="minorHAnsi"/>
          <w:sz w:val="22"/>
          <w:szCs w:val="22"/>
          <w:lang w:val="fr-FR"/>
        </w:rPr>
        <w:t>Les agences des Nations Unies ou les bureaux pays des Nations Unies ;</w:t>
      </w:r>
    </w:p>
    <w:p w:rsidR="00BB03D2" w:rsidRDefault="004F4B70" w14:paraId="0FA256C9" w14:textId="77777777">
      <w:pPr>
        <w:pStyle w:val="CommentText"/>
        <w:numPr>
          <w:ilvl w:val="0"/>
          <w:numId w:val="4"/>
        </w:numPr>
        <w:spacing w:after="0"/>
        <w:rPr>
          <w:rFonts w:asciiTheme="minorHAnsi" w:hAnsiTheme="minorHAnsi" w:cstheme="minorHAnsi"/>
          <w:sz w:val="22"/>
          <w:szCs w:val="22"/>
          <w:lang w:val="fr-FR"/>
        </w:rPr>
      </w:pPr>
      <w:r>
        <w:rPr>
          <w:rFonts w:asciiTheme="minorHAnsi" w:hAnsiTheme="minorHAnsi" w:cstheme="minorHAnsi"/>
          <w:sz w:val="22"/>
          <w:szCs w:val="22"/>
          <w:lang w:val="fr-FR"/>
        </w:rPr>
        <w:t xml:space="preserve">Des individus </w:t>
      </w:r>
    </w:p>
    <w:p w:rsidR="00BB03D2" w:rsidRDefault="004F4B70" w14:paraId="61E80F25" w14:textId="77777777">
      <w:pPr>
        <w:pStyle w:val="CommentText"/>
        <w:numPr>
          <w:ilvl w:val="0"/>
          <w:numId w:val="4"/>
        </w:numPr>
        <w:spacing w:after="0"/>
        <w:rPr>
          <w:rFonts w:asciiTheme="minorHAnsi" w:hAnsiTheme="minorHAnsi" w:cstheme="minorHAnsi"/>
          <w:sz w:val="22"/>
          <w:szCs w:val="22"/>
          <w:lang w:val="fr-FR"/>
        </w:rPr>
      </w:pPr>
      <w:r>
        <w:rPr>
          <w:rFonts w:asciiTheme="minorHAnsi" w:hAnsiTheme="minorHAnsi" w:cstheme="minorHAnsi"/>
          <w:sz w:val="22"/>
          <w:szCs w:val="22"/>
          <w:lang w:val="fr-FR"/>
        </w:rPr>
        <w:t>Les entités du secteur privé</w:t>
      </w:r>
    </w:p>
    <w:p w:rsidRPr="004F4B70" w:rsidR="00BB03D2" w:rsidRDefault="004F4B70" w14:paraId="1E99EC24" w14:textId="77777777">
      <w:pPr>
        <w:pStyle w:val="CommentText"/>
        <w:numPr>
          <w:ilvl w:val="0"/>
          <w:numId w:val="4"/>
        </w:numPr>
        <w:spacing w:after="0"/>
        <w:rPr>
          <w:rFonts w:asciiTheme="minorHAnsi" w:hAnsiTheme="minorHAnsi" w:cstheme="minorHAnsi"/>
          <w:lang w:val="fr-FR"/>
        </w:rPr>
      </w:pPr>
      <w:r>
        <w:rPr>
          <w:rFonts w:asciiTheme="minorHAnsi" w:hAnsiTheme="minorHAnsi" w:cstheme="minorHAnsi"/>
          <w:sz w:val="22"/>
          <w:szCs w:val="22"/>
          <w:lang w:val="fr-FR"/>
        </w:rPr>
        <w:t>Les universités et les établissements d'enseignement</w:t>
      </w:r>
    </w:p>
    <w:p w:rsidR="004F4B70" w:rsidRDefault="004F4B70" w14:paraId="1A9EBD6A" w14:textId="1568DD85">
      <w:pPr>
        <w:pStyle w:val="CommentText"/>
        <w:numPr>
          <w:ilvl w:val="0"/>
          <w:numId w:val="4"/>
        </w:numPr>
        <w:spacing w:after="0"/>
        <w:rPr>
          <w:rFonts w:asciiTheme="minorHAnsi" w:hAnsiTheme="minorHAnsi" w:cstheme="minorHAnsi"/>
          <w:lang w:val="fr-FR"/>
        </w:rPr>
      </w:pPr>
      <w:r>
        <w:rPr>
          <w:rFonts w:asciiTheme="minorHAnsi" w:hAnsiTheme="minorHAnsi" w:cstheme="minorHAnsi"/>
          <w:sz w:val="22"/>
          <w:szCs w:val="22"/>
          <w:lang w:val="fr-FR"/>
        </w:rPr>
        <w:t>Les organisations internationales</w:t>
      </w:r>
    </w:p>
    <w:p w:rsidR="00BB03D2" w:rsidRDefault="00BB03D2" w14:paraId="1204D18F" w14:textId="77777777">
      <w:pPr>
        <w:pStyle w:val="Paragraphedeliste1"/>
        <w:spacing w:after="0" w:line="240" w:lineRule="auto"/>
        <w:ind w:left="360"/>
        <w:rPr>
          <w:rFonts w:asciiTheme="minorHAnsi" w:hAnsiTheme="minorHAnsi" w:cstheme="minorHAnsi"/>
          <w:b/>
          <w:lang w:val="fr-FR"/>
        </w:rPr>
      </w:pPr>
    </w:p>
    <w:p w:rsidR="00BB03D2" w:rsidRDefault="004F4B70" w14:paraId="5DE8226E" w14:textId="6A7DC7E2">
      <w:pPr>
        <w:pStyle w:val="Paragraphedeliste1"/>
        <w:spacing w:after="0" w:line="240" w:lineRule="auto"/>
        <w:ind w:left="0"/>
        <w:rPr>
          <w:rFonts w:asciiTheme="minorHAnsi" w:hAnsiTheme="minorHAnsi" w:cstheme="minorHAnsi"/>
          <w:lang w:val="fr-FR"/>
        </w:rPr>
      </w:pPr>
      <w:r>
        <w:rPr>
          <w:rFonts w:asciiTheme="minorHAnsi" w:hAnsiTheme="minorHAnsi" w:cstheme="minorHAnsi"/>
          <w:b/>
          <w:lang w:val="fr-FR"/>
        </w:rPr>
        <w:t xml:space="preserve">4.1   Dois-je être une entité/organisation légalement enregistrée pour présenter une demande ? </w:t>
      </w:r>
      <w:r>
        <w:rPr>
          <w:rFonts w:asciiTheme="minorHAnsi" w:hAnsiTheme="minorHAnsi" w:cstheme="minorHAnsi"/>
          <w:b/>
          <w:bCs/>
          <w:color w:val="009FE4"/>
          <w:lang w:val="fr-FR"/>
        </w:rPr>
        <w:t>OUI, pour l’organisation principale</w:t>
      </w:r>
      <w:r>
        <w:rPr>
          <w:lang w:val="fr-FR"/>
        </w:rPr>
        <w:t xml:space="preserve">. </w:t>
      </w:r>
      <w:r>
        <w:rPr>
          <w:rFonts w:asciiTheme="minorHAnsi" w:hAnsiTheme="minorHAnsi" w:cstheme="minorHAnsi"/>
          <w:lang w:val="fr-FR"/>
        </w:rPr>
        <w:t>L'organisation principale doit avoir un statut juridique auprès de l'autorité nationale compétente dans le pays de mise en œuvre du projet et doit soumettre une preuve d’enregistrement légal. Veuillez noter que les statuts ne constituent pas une preuve de statut juridique.</w:t>
      </w:r>
    </w:p>
    <w:p w:rsidR="00BB03D2" w:rsidRDefault="00BB03D2" w14:paraId="2D7DBABE" w14:textId="77777777">
      <w:pPr>
        <w:pStyle w:val="Paragraphedeliste1"/>
        <w:spacing w:after="0" w:line="240" w:lineRule="auto"/>
        <w:ind w:left="0"/>
        <w:rPr>
          <w:rFonts w:asciiTheme="minorHAnsi" w:hAnsiTheme="minorHAnsi" w:cstheme="minorHAnsi"/>
          <w:lang w:val="fr-FR"/>
        </w:rPr>
      </w:pPr>
    </w:p>
    <w:p w:rsidR="00BB03D2" w:rsidRDefault="004F4B70" w14:paraId="4B71CA43" w14:textId="77777777">
      <w:pPr>
        <w:rPr>
          <w:rFonts w:asciiTheme="minorHAnsi" w:hAnsiTheme="minorHAnsi" w:cstheme="minorHAnsi"/>
          <w:sz w:val="22"/>
          <w:szCs w:val="22"/>
        </w:rPr>
      </w:pPr>
      <w:r>
        <w:rPr>
          <w:rFonts w:asciiTheme="minorHAnsi" w:hAnsiTheme="minorHAnsi" w:cstheme="minorHAnsi"/>
          <w:b/>
          <w:bCs/>
          <w:color w:val="009FE4"/>
          <w:sz w:val="22"/>
          <w:szCs w:val="22"/>
        </w:rPr>
        <w:t>NON pour les partenaires de mise en œuvre</w:t>
      </w:r>
      <w:r>
        <w:rPr>
          <w:rFonts w:asciiTheme="minorHAnsi" w:hAnsiTheme="minorHAnsi" w:cstheme="minorHAnsi"/>
          <w:sz w:val="22"/>
          <w:szCs w:val="22"/>
        </w:rPr>
        <w:t xml:space="preserve"> ou de consortium. Les partenaires de mise en œuvre ne sont pas tenus de fournir un enregistrement légal, mais seulement l’organisation principale. </w:t>
      </w:r>
    </w:p>
    <w:p w:rsidR="00BB03D2" w:rsidRDefault="00BB03D2" w14:paraId="676951DE" w14:textId="77777777">
      <w:pPr>
        <w:rPr>
          <w:rFonts w:asciiTheme="minorHAnsi" w:hAnsiTheme="minorHAnsi" w:cstheme="minorHAnsi"/>
        </w:rPr>
      </w:pPr>
    </w:p>
    <w:p w:rsidR="00BB03D2" w:rsidRDefault="004F4B70" w14:paraId="4E769035" w14:textId="766A2421">
      <w:pPr>
        <w:rPr>
          <w:rFonts w:asciiTheme="minorHAnsi" w:hAnsiTheme="minorHAnsi" w:cstheme="minorHAnsi"/>
          <w:b/>
          <w:sz w:val="22"/>
          <w:szCs w:val="22"/>
        </w:rPr>
      </w:pPr>
      <w:r>
        <w:rPr>
          <w:rFonts w:asciiTheme="minorHAnsi" w:hAnsiTheme="minorHAnsi" w:cstheme="minorHAnsi"/>
          <w:b/>
          <w:sz w:val="22"/>
          <w:szCs w:val="22"/>
        </w:rPr>
        <w:t>4.2 Pouvons-nous postuler en partenariat ou en consortium avec d’autres organisations ?</w:t>
      </w:r>
    </w:p>
    <w:p w:rsidR="00BB03D2" w:rsidRDefault="004F4B70" w14:paraId="358723EF" w14:textId="77777777">
      <w:pPr>
        <w:rPr>
          <w:rFonts w:asciiTheme="minorHAnsi" w:hAnsiTheme="minorHAnsi" w:cstheme="minorHAnsi"/>
          <w:sz w:val="22"/>
          <w:szCs w:val="22"/>
        </w:rPr>
      </w:pPr>
      <w:r>
        <w:rPr>
          <w:rFonts w:asciiTheme="minorHAnsi" w:hAnsiTheme="minorHAnsi" w:cstheme="minorHAnsi"/>
          <w:b/>
          <w:color w:val="009FE4"/>
          <w:sz w:val="22"/>
          <w:szCs w:val="22"/>
        </w:rPr>
        <w:t>OUI.</w:t>
      </w:r>
      <w:r>
        <w:rPr>
          <w:rFonts w:asciiTheme="minorHAnsi" w:hAnsiTheme="minorHAnsi" w:cstheme="minorHAnsi"/>
          <w:sz w:val="22"/>
          <w:szCs w:val="22"/>
        </w:rPr>
        <w:t xml:space="preserve"> Les projets conjoints avec d’autres organisations locales de défense des droits des femmes, des organisations axées sur les jeunes, des organisations de la société civile dirigées par des femmes ou des jeunes femmes sont encouragés. Pour les projets conjoints, seul l’organisme responsable est tenu de satisfaire aux critères d’admissibilité. </w:t>
      </w:r>
    </w:p>
    <w:p w:rsidR="00BB03D2" w:rsidRDefault="00BB03D2" w14:paraId="1C7A6A22" w14:textId="77777777">
      <w:pPr>
        <w:rPr>
          <w:rFonts w:asciiTheme="minorHAnsi" w:hAnsiTheme="minorHAnsi" w:cstheme="minorHAnsi"/>
          <w:sz w:val="22"/>
          <w:szCs w:val="22"/>
        </w:rPr>
      </w:pPr>
    </w:p>
    <w:p w:rsidR="00BB03D2" w:rsidRDefault="004F4B70" w14:paraId="1F4659D1" w14:textId="77777777">
      <w:pPr>
        <w:rPr>
          <w:rFonts w:asciiTheme="minorHAnsi" w:hAnsiTheme="minorHAnsi" w:cstheme="minorHAnsi"/>
          <w:sz w:val="22"/>
          <w:szCs w:val="22"/>
        </w:rPr>
      </w:pPr>
      <w:r>
        <w:rPr>
          <w:rFonts w:asciiTheme="minorHAnsi" w:hAnsiTheme="minorHAnsi" w:cstheme="minorHAnsi"/>
          <w:sz w:val="22"/>
          <w:szCs w:val="22"/>
        </w:rPr>
        <w:t xml:space="preserve">Pour les projets conjoints, les rôles et les responsabilités de </w:t>
      </w:r>
      <w:r>
        <w:rPr>
          <w:rFonts w:asciiTheme="minorHAnsi" w:hAnsiTheme="minorHAnsi" w:cstheme="minorHAnsi"/>
          <w:sz w:val="22"/>
          <w:szCs w:val="22"/>
          <w:u w:val="single"/>
        </w:rPr>
        <w:t>chaque</w:t>
      </w:r>
      <w:r>
        <w:rPr>
          <w:rFonts w:asciiTheme="minorHAnsi" w:hAnsiTheme="minorHAnsi" w:cstheme="minorHAnsi"/>
          <w:sz w:val="22"/>
          <w:szCs w:val="22"/>
        </w:rPr>
        <w:t xml:space="preserve"> organisation doivent être clairement détaillés dans le modèle de demande.</w:t>
      </w:r>
    </w:p>
    <w:p w:rsidR="00BB03D2" w:rsidRDefault="00BB03D2" w14:paraId="68F07AFE" w14:textId="77777777">
      <w:pPr>
        <w:rPr>
          <w:rFonts w:asciiTheme="minorHAnsi" w:hAnsiTheme="minorHAnsi" w:cstheme="minorHAnsi"/>
        </w:rPr>
      </w:pPr>
    </w:p>
    <w:p w:rsidR="00BB03D2" w:rsidRDefault="004F4B70" w14:paraId="6CAB5AD5" w14:textId="77777777">
      <w:pPr>
        <w:rPr>
          <w:rFonts w:asciiTheme="minorHAnsi" w:hAnsiTheme="minorHAnsi" w:cstheme="minorHAnsi"/>
          <w:b/>
          <w:sz w:val="22"/>
          <w:szCs w:val="22"/>
        </w:rPr>
      </w:pPr>
      <w:r>
        <w:rPr>
          <w:rFonts w:asciiTheme="minorHAnsi" w:hAnsiTheme="minorHAnsi" w:cstheme="minorHAnsi"/>
          <w:b/>
          <w:sz w:val="22"/>
          <w:szCs w:val="22"/>
        </w:rPr>
        <w:t>4.3 Puis-je demander une subvention pour une initiative ou un projet en cours ?</w:t>
      </w:r>
    </w:p>
    <w:p w:rsidR="00BB03D2" w:rsidRDefault="004F4B70" w14:paraId="04C88130" w14:textId="77777777">
      <w:pPr>
        <w:jc w:val="both"/>
        <w:rPr>
          <w:rFonts w:asciiTheme="minorHAnsi" w:hAnsiTheme="minorHAnsi" w:cstheme="minorHAnsi"/>
          <w:bCs/>
          <w:sz w:val="22"/>
          <w:szCs w:val="22"/>
        </w:rPr>
      </w:pPr>
      <w:r>
        <w:rPr>
          <w:rFonts w:asciiTheme="minorHAnsi" w:hAnsiTheme="minorHAnsi" w:cstheme="minorHAnsi"/>
          <w:b/>
          <w:color w:val="009FE4"/>
          <w:sz w:val="22"/>
          <w:szCs w:val="22"/>
        </w:rPr>
        <w:t>OUI.</w:t>
      </w:r>
      <w:r>
        <w:rPr>
          <w:rFonts w:asciiTheme="minorHAnsi" w:hAnsiTheme="minorHAnsi" w:cstheme="minorHAnsi"/>
          <w:b/>
          <w:sz w:val="22"/>
          <w:szCs w:val="22"/>
        </w:rPr>
        <w:t xml:space="preserve"> </w:t>
      </w:r>
      <w:r>
        <w:rPr>
          <w:rFonts w:asciiTheme="minorHAnsi" w:hAnsiTheme="minorHAnsi" w:cstheme="minorHAnsi"/>
          <w:bCs/>
          <w:sz w:val="22"/>
          <w:szCs w:val="22"/>
        </w:rPr>
        <w:t>Le WPHF accepte les propositions de projets en cours. La valeur ajoutée spécifique de la subvention doit toutefois être clairement indiquée</w:t>
      </w:r>
    </w:p>
    <w:p w:rsidR="00BB03D2" w:rsidRDefault="00BB03D2" w14:paraId="1B10BFD1" w14:textId="77777777">
      <w:pPr>
        <w:jc w:val="both"/>
        <w:rPr>
          <w:rFonts w:asciiTheme="minorHAnsi" w:hAnsiTheme="minorHAnsi" w:cstheme="minorHAnsi"/>
          <w:sz w:val="22"/>
          <w:szCs w:val="22"/>
        </w:rPr>
      </w:pPr>
    </w:p>
    <w:p w:rsidR="00BB03D2" w:rsidRDefault="004F4B70" w14:paraId="6C9B834C" w14:textId="60F90FEE">
      <w:pPr>
        <w:rPr>
          <w:rFonts w:asciiTheme="minorHAnsi" w:hAnsiTheme="minorHAnsi" w:cstheme="minorHAnsi"/>
          <w:b/>
          <w:sz w:val="22"/>
          <w:szCs w:val="22"/>
        </w:rPr>
      </w:pPr>
      <w:r>
        <w:rPr>
          <w:rFonts w:asciiTheme="minorHAnsi" w:hAnsiTheme="minorHAnsi" w:cstheme="minorHAnsi"/>
          <w:b/>
          <w:sz w:val="22"/>
          <w:szCs w:val="22"/>
        </w:rPr>
        <w:t xml:space="preserve">4.4 Mon organisation doit-elle contribuer au budget du projet ? </w:t>
      </w:r>
    </w:p>
    <w:p w:rsidR="00BB03D2" w:rsidRDefault="004F4B70" w14:paraId="2508FAAA" w14:textId="77777777">
      <w:pPr>
        <w:ind w:left="360" w:hanging="360"/>
        <w:jc w:val="both"/>
        <w:rPr>
          <w:rFonts w:asciiTheme="minorHAnsi" w:hAnsiTheme="minorHAnsi" w:cstheme="minorHAnsi"/>
          <w:color w:val="1C1C1C"/>
          <w:sz w:val="22"/>
          <w:szCs w:val="22"/>
        </w:rPr>
      </w:pPr>
      <w:r>
        <w:rPr>
          <w:rFonts w:asciiTheme="minorHAnsi" w:hAnsiTheme="minorHAnsi" w:cstheme="minorHAnsi"/>
          <w:b/>
          <w:bCs/>
          <w:color w:val="009FE4"/>
          <w:sz w:val="22"/>
          <w:szCs w:val="22"/>
        </w:rPr>
        <w:lastRenderedPageBreak/>
        <w:t>NON.</w:t>
      </w:r>
      <w:r>
        <w:rPr>
          <w:rFonts w:asciiTheme="minorHAnsi" w:hAnsiTheme="minorHAnsi" w:cstheme="minorHAnsi"/>
          <w:color w:val="009FE4"/>
          <w:sz w:val="22"/>
          <w:szCs w:val="22"/>
        </w:rPr>
        <w:t xml:space="preserve"> </w:t>
      </w:r>
      <w:r>
        <w:rPr>
          <w:rFonts w:asciiTheme="minorHAnsi" w:hAnsiTheme="minorHAnsi" w:cstheme="minorHAnsi"/>
          <w:color w:val="1C1C1C"/>
          <w:sz w:val="22"/>
          <w:szCs w:val="22"/>
        </w:rPr>
        <w:t>Les organisations de la société civile ne sont pas tenues de contribuer au budget du projet.</w:t>
      </w:r>
    </w:p>
    <w:p w:rsidR="00BB03D2" w:rsidRDefault="00BB03D2" w14:paraId="64850F91" w14:textId="77777777">
      <w:pPr>
        <w:jc w:val="both"/>
        <w:rPr>
          <w:rFonts w:asciiTheme="minorHAnsi" w:hAnsiTheme="minorHAnsi" w:cstheme="minorHAnsi"/>
          <w:sz w:val="22"/>
          <w:szCs w:val="22"/>
        </w:rPr>
      </w:pPr>
    </w:p>
    <w:p w:rsidR="00BB03D2" w:rsidRDefault="004F4B70" w14:paraId="5FB31646" w14:textId="77777777">
      <w:pPr>
        <w:jc w:val="both"/>
        <w:rPr>
          <w:rFonts w:asciiTheme="minorHAnsi" w:hAnsiTheme="minorHAnsi" w:cstheme="minorHAnsi"/>
          <w:b/>
          <w:bCs/>
          <w:color w:val="009FE4"/>
        </w:rPr>
      </w:pPr>
      <w:r>
        <w:rPr>
          <w:rFonts w:asciiTheme="minorHAnsi" w:hAnsiTheme="minorHAnsi" w:cstheme="minorHAnsi"/>
          <w:b/>
          <w:bCs/>
          <w:color w:val="009FE4"/>
        </w:rPr>
        <w:t>5.  Type de financement et exigences</w:t>
      </w:r>
    </w:p>
    <w:p w:rsidR="00BB03D2" w:rsidRDefault="004F4B70" w14:paraId="746A6B25" w14:textId="77777777">
      <w:pPr>
        <w:jc w:val="both"/>
        <w:rPr>
          <w:rFonts w:asciiTheme="minorHAnsi" w:hAnsiTheme="minorHAnsi" w:cstheme="minorHAnsi"/>
          <w:sz w:val="22"/>
          <w:szCs w:val="22"/>
        </w:rPr>
      </w:pPr>
      <w:r>
        <w:rPr>
          <w:rFonts w:asciiTheme="minorHAnsi" w:hAnsiTheme="minorHAnsi" w:cstheme="minorHAnsi"/>
          <w:sz w:val="22"/>
          <w:szCs w:val="22"/>
        </w:rPr>
        <w:t xml:space="preserve">Dans le cadre de cet appel de propositions, WPHF accepte les demandes de financement programmatique et institutionnel. </w:t>
      </w:r>
    </w:p>
    <w:p w:rsidR="00BB03D2" w:rsidRDefault="00BB03D2" w14:paraId="319D63FA" w14:textId="77777777">
      <w:pPr>
        <w:jc w:val="both"/>
        <w:rPr>
          <w:rFonts w:asciiTheme="minorHAnsi" w:hAnsiTheme="minorHAnsi" w:cstheme="minorHAnsi"/>
          <w:sz w:val="22"/>
          <w:szCs w:val="22"/>
        </w:rPr>
      </w:pPr>
    </w:p>
    <w:p w:rsidR="00BB03D2" w:rsidRDefault="004F4B70" w14:paraId="7E113945" w14:textId="77777777">
      <w:pPr>
        <w:jc w:val="both"/>
        <w:rPr>
          <w:rFonts w:asciiTheme="minorHAnsi" w:hAnsiTheme="minorHAnsi" w:cstheme="minorHAnsi"/>
          <w:b/>
          <w:sz w:val="22"/>
          <w:szCs w:val="22"/>
        </w:rPr>
      </w:pPr>
      <w:r>
        <w:rPr>
          <w:rFonts w:asciiTheme="minorHAnsi" w:hAnsiTheme="minorHAnsi" w:cstheme="minorHAnsi"/>
          <w:b/>
          <w:sz w:val="22"/>
          <w:szCs w:val="22"/>
        </w:rPr>
        <w:t>Une organisation (demandeur principal ou partenaires de mise en œuvre) peut soumettre une demande de financement institutionnel ET/OU une demande de financement programmatique. Les organisations qui demandent à la fois un financement institutionnel et programmatique doivent soumettre deux dossiers de candidature distincts basés sur les modèles associés de chaque volet.</w:t>
      </w:r>
    </w:p>
    <w:p w:rsidR="00BB03D2" w:rsidRDefault="00BB03D2" w14:paraId="75CF08E5" w14:textId="77777777">
      <w:pPr>
        <w:jc w:val="both"/>
        <w:rPr>
          <w:rFonts w:asciiTheme="minorHAnsi" w:hAnsiTheme="minorHAnsi" w:cstheme="minorHAnsi"/>
          <w:bCs/>
        </w:rPr>
      </w:pPr>
    </w:p>
    <w:p w:rsidR="00BB03D2" w:rsidRDefault="004F4B70" w14:paraId="22952AB6" w14:textId="77777777">
      <w:pPr>
        <w:jc w:val="both"/>
        <w:rPr>
          <w:rFonts w:asciiTheme="minorHAnsi" w:hAnsiTheme="minorHAnsi" w:cstheme="minorHAnsi"/>
          <w:b/>
          <w:bCs/>
          <w:color w:val="009FE4"/>
          <w:sz w:val="22"/>
          <w:szCs w:val="22"/>
        </w:rPr>
      </w:pPr>
      <w:r>
        <w:rPr>
          <w:rFonts w:asciiTheme="minorHAnsi" w:hAnsiTheme="minorHAnsi" w:cstheme="minorHAnsi"/>
          <w:b/>
          <w:bCs/>
          <w:color w:val="009FE4"/>
          <w:sz w:val="22"/>
          <w:szCs w:val="22"/>
        </w:rPr>
        <w:t>Financement institutionnel : Volet 1 (USD $2,500 – $30,000)</w:t>
      </w:r>
    </w:p>
    <w:p w:rsidR="00BB03D2" w:rsidRDefault="004F4B70" w14:paraId="4F9442C9" w14:textId="77777777">
      <w:pPr>
        <w:jc w:val="both"/>
        <w:rPr>
          <w:rFonts w:asciiTheme="minorHAnsi" w:hAnsiTheme="minorHAnsi" w:cstheme="minorHAnsi"/>
          <w:sz w:val="22"/>
          <w:szCs w:val="22"/>
        </w:rPr>
      </w:pPr>
      <w:r>
        <w:rPr>
          <w:rFonts w:asciiTheme="minorHAnsi" w:hAnsiTheme="minorHAnsi" w:cstheme="minorHAnsi"/>
          <w:sz w:val="22"/>
          <w:szCs w:val="22"/>
        </w:rPr>
        <w:t>Ce volet de financement institutionnel offre une subvention de fonctionnement aux organisations locales de la société civile travaillant sur les questions spécifiques au genre dans les contextes de paix, de sécurité et d'aide humanitaire, afin qu’elles puissent continuer à fonctionner et afin d’accentuer leurs impacts.  Les organisations candidates devront démontrer comment le contexte actuel affecte leurs capacités organisationnelles et financières, ainsi que la manière avec laquelle la contribution du WPHF les soutiendra en tant qu’organisation. Cette contribution financera un éventail limité d'activités destinées à soutenir le développement ou le renforcement de la capacité opérationnelle de l’OSC. L'objectif de ce programme de financement N'EST PAS de financer la mise en œuvre d'un projet.</w:t>
      </w:r>
    </w:p>
    <w:p w:rsidR="00BB03D2" w:rsidRDefault="00BB03D2" w14:paraId="05D2FB7B" w14:textId="77777777">
      <w:pPr>
        <w:jc w:val="both"/>
        <w:rPr>
          <w:rFonts w:asciiTheme="minorHAnsi" w:hAnsiTheme="minorHAnsi" w:cstheme="minorHAnsi"/>
          <w:bCs/>
          <w:sz w:val="22"/>
          <w:szCs w:val="22"/>
        </w:rPr>
      </w:pPr>
    </w:p>
    <w:p w:rsidR="00BB03D2" w:rsidRDefault="004F4B70" w14:paraId="0A0644BA" w14:textId="77777777">
      <w:pPr>
        <w:jc w:val="both"/>
        <w:rPr>
          <w:rFonts w:asciiTheme="minorHAnsi" w:hAnsiTheme="minorHAnsi" w:cstheme="minorHAnsi"/>
          <w:bCs/>
          <w:sz w:val="22"/>
          <w:szCs w:val="22"/>
        </w:rPr>
      </w:pPr>
      <w:r>
        <w:rPr>
          <w:rFonts w:asciiTheme="minorHAnsi" w:hAnsiTheme="minorHAnsi" w:cstheme="minorHAnsi"/>
          <w:b/>
          <w:sz w:val="22"/>
          <w:szCs w:val="22"/>
          <w:u w:val="single"/>
        </w:rPr>
        <w:t>ET/OU</w:t>
      </w:r>
      <w:r>
        <w:rPr>
          <w:rFonts w:asciiTheme="minorHAnsi" w:hAnsiTheme="minorHAnsi" w:cstheme="minorHAnsi"/>
          <w:bCs/>
          <w:sz w:val="22"/>
          <w:szCs w:val="22"/>
        </w:rPr>
        <w:t xml:space="preserve"> postuler pour :</w:t>
      </w:r>
    </w:p>
    <w:p w:rsidR="00BB03D2" w:rsidRDefault="00BB03D2" w14:paraId="2D873909" w14:textId="77777777">
      <w:pPr>
        <w:jc w:val="both"/>
        <w:rPr>
          <w:rFonts w:asciiTheme="minorHAnsi" w:hAnsiTheme="minorHAnsi" w:cstheme="minorHAnsi"/>
          <w:bCs/>
          <w:sz w:val="22"/>
          <w:szCs w:val="22"/>
        </w:rPr>
      </w:pPr>
    </w:p>
    <w:p w:rsidR="00BB03D2" w:rsidRDefault="004F4B70" w14:paraId="37A3E137" w14:textId="77777777">
      <w:pPr>
        <w:jc w:val="both"/>
        <w:rPr>
          <w:rFonts w:asciiTheme="minorHAnsi" w:hAnsiTheme="minorHAnsi" w:cstheme="minorHAnsi"/>
          <w:b/>
          <w:bCs/>
          <w:color w:val="009FE4"/>
          <w:sz w:val="22"/>
          <w:szCs w:val="22"/>
        </w:rPr>
      </w:pPr>
      <w:r>
        <w:rPr>
          <w:rFonts w:asciiTheme="minorHAnsi" w:hAnsiTheme="minorHAnsi" w:cstheme="minorHAnsi"/>
          <w:b/>
          <w:bCs/>
          <w:color w:val="009FE4"/>
          <w:sz w:val="22"/>
          <w:szCs w:val="22"/>
        </w:rPr>
        <w:t>Financement programmatique : Volet 2 (USD $30,000 - $200,000)</w:t>
      </w:r>
    </w:p>
    <w:p w:rsidR="00BB03D2" w:rsidRDefault="004F4B70" w14:paraId="2503D7BE" w14:textId="77777777">
      <w:pPr>
        <w:spacing w:after="160"/>
        <w:rPr>
          <w:rFonts w:asciiTheme="minorHAnsi" w:hAnsiTheme="minorHAnsi" w:cstheme="minorHAnsi"/>
          <w:sz w:val="22"/>
          <w:szCs w:val="22"/>
        </w:rPr>
      </w:pPr>
      <w:r>
        <w:rPr>
          <w:rFonts w:asciiTheme="minorHAnsi" w:hAnsiTheme="minorHAnsi" w:cstheme="minorHAnsi"/>
          <w:sz w:val="22"/>
          <w:szCs w:val="22"/>
        </w:rPr>
        <w:t>Ce volet de financement financera des projets qui visent spécifiquement à financer des activités programmatiques alignées sur le(s) domaine(s) d’impact suivant(s) :</w:t>
      </w:r>
    </w:p>
    <w:p w:rsidR="00BB03D2" w:rsidRDefault="00BB03D2" w14:paraId="1F7868EB" w14:textId="77777777">
      <w:pPr>
        <w:spacing w:after="160"/>
        <w:rPr>
          <w:rFonts w:asciiTheme="minorHAnsi" w:hAnsiTheme="minorHAnsi" w:cstheme="minorHAnsi"/>
          <w:sz w:val="22"/>
          <w:szCs w:val="22"/>
        </w:rPr>
      </w:pPr>
    </w:p>
    <w:p w:rsidR="00BB03D2" w:rsidRDefault="004F4B70" w14:paraId="695DD17E" w14:textId="77777777">
      <w:pPr>
        <w:numPr>
          <w:ilvl w:val="0"/>
          <w:numId w:val="5"/>
        </w:numPr>
        <w:spacing w:after="160"/>
        <w:ind w:left="426"/>
        <w:rPr>
          <w:rFonts w:eastAsia="Calibri" w:asciiTheme="minorHAnsi" w:hAnsiTheme="minorHAnsi" w:cstheme="minorHAnsi"/>
          <w:sz w:val="22"/>
          <w:szCs w:val="22"/>
          <w:lang w:val="fr-CH" w:eastAsia="en-US"/>
        </w:rPr>
      </w:pPr>
      <w:r>
        <w:rPr>
          <w:rFonts w:asciiTheme="minorHAnsi" w:hAnsiTheme="minorHAnsi" w:cstheme="minorHAnsi"/>
          <w:b/>
          <w:bCs/>
        </w:rPr>
        <w:t xml:space="preserve">Domaine d’impact </w:t>
      </w:r>
      <w:r>
        <w:rPr>
          <w:rStyle w:val="normaltextrun"/>
          <w:rFonts w:ascii="Calibri" w:hAnsi="Calibri" w:cs="Calibri"/>
          <w:b/>
          <w:bCs/>
          <w:color w:val="000000"/>
          <w:sz w:val="22"/>
          <w:szCs w:val="22"/>
          <w:shd w:val="clear" w:color="auto" w:fill="FFFFFF"/>
        </w:rPr>
        <w:t xml:space="preserve">3 du WPHF : </w:t>
      </w:r>
      <w:r>
        <w:rPr>
          <w:rStyle w:val="normaltextrun"/>
          <w:rFonts w:ascii="Calibri" w:hAnsi="Calibri" w:cs="Calibri"/>
          <w:color w:val="000000"/>
          <w:sz w:val="22"/>
          <w:szCs w:val="22"/>
          <w:shd w:val="clear" w:color="auto" w:fill="FFFFFF"/>
        </w:rPr>
        <w:t>La participation et le leadership des femmes sont accrues dans la planification et la réponse aux crises humanitaires.</w:t>
      </w:r>
      <w:r>
        <w:rPr>
          <w:rStyle w:val="eop"/>
          <w:rFonts w:ascii="Calibri" w:hAnsi="Calibri" w:cs="Calibri"/>
          <w:color w:val="000000"/>
          <w:sz w:val="22"/>
          <w:szCs w:val="22"/>
          <w:shd w:val="clear" w:color="auto" w:fill="FFFFFF"/>
        </w:rPr>
        <w:t> </w:t>
      </w:r>
    </w:p>
    <w:p w:rsidR="00BB03D2" w:rsidRDefault="004F4B70" w14:paraId="4F3AAB9C" w14:textId="77777777">
      <w:pPr>
        <w:spacing w:after="160"/>
        <w:ind w:left="66"/>
        <w:rPr>
          <w:rFonts w:eastAsia="Calibri" w:asciiTheme="minorHAnsi" w:hAnsiTheme="minorHAnsi" w:cstheme="minorHAnsi"/>
          <w:b/>
          <w:bCs/>
          <w:sz w:val="22"/>
          <w:szCs w:val="22"/>
          <w:u w:val="single"/>
          <w:lang w:val="en-US" w:eastAsia="en-US"/>
        </w:rPr>
      </w:pPr>
      <w:r>
        <w:rPr>
          <w:rFonts w:eastAsia="Calibri" w:asciiTheme="minorHAnsi" w:hAnsiTheme="minorHAnsi" w:cstheme="minorHAnsi"/>
          <w:b/>
          <w:bCs/>
          <w:sz w:val="22"/>
          <w:szCs w:val="22"/>
          <w:u w:val="single"/>
          <w:lang w:val="en-US" w:eastAsia="en-US"/>
        </w:rPr>
        <w:t xml:space="preserve">OU </w:t>
      </w:r>
    </w:p>
    <w:p w:rsidR="00BB03D2" w:rsidRDefault="004F4B70" w14:paraId="18D65B89" w14:textId="77777777">
      <w:pPr>
        <w:numPr>
          <w:ilvl w:val="0"/>
          <w:numId w:val="5"/>
        </w:numPr>
        <w:spacing w:after="160"/>
        <w:ind w:left="426"/>
        <w:rPr>
          <w:rFonts w:eastAsia="Calibri" w:asciiTheme="minorHAnsi" w:hAnsiTheme="minorHAnsi" w:cstheme="minorHAnsi"/>
          <w:b/>
          <w:bCs/>
          <w:sz w:val="22"/>
          <w:szCs w:val="22"/>
          <w:lang w:val="fr-CH" w:eastAsia="en-US"/>
        </w:rPr>
      </w:pPr>
      <w:r>
        <w:rPr>
          <w:rFonts w:asciiTheme="minorHAnsi" w:hAnsiTheme="minorHAnsi" w:cstheme="minorHAnsi"/>
          <w:b/>
          <w:bCs/>
        </w:rPr>
        <w:t xml:space="preserve"> Domaine d’impact</w:t>
      </w:r>
      <w:r>
        <w:rPr>
          <w:rStyle w:val="normaltextrun"/>
          <w:rFonts w:ascii="Calibri" w:hAnsi="Calibri" w:cs="Calibri"/>
          <w:b/>
          <w:bCs/>
          <w:color w:val="000000"/>
          <w:sz w:val="22"/>
          <w:szCs w:val="22"/>
          <w:shd w:val="clear" w:color="auto" w:fill="FFFFFF"/>
        </w:rPr>
        <w:t xml:space="preserve"> 5 du WPHF :</w:t>
      </w:r>
      <w:r>
        <w:rPr>
          <w:rStyle w:val="normaltextrun"/>
          <w:rFonts w:ascii="Calibri" w:hAnsi="Calibri" w:cs="Calibri"/>
          <w:color w:val="000000"/>
          <w:sz w:val="22"/>
          <w:szCs w:val="22"/>
          <w:shd w:val="clear" w:color="auto" w:fill="FFFFFF"/>
        </w:rPr>
        <w:t xml:space="preserve"> Les droits humains, la sûreté, la sécurité et la santé mentale des femmes et des filles sont améliorés.</w:t>
      </w:r>
      <w:r>
        <w:rPr>
          <w:rStyle w:val="eop"/>
          <w:rFonts w:ascii="Calibri" w:hAnsi="Calibri" w:cs="Calibri"/>
          <w:color w:val="000000"/>
          <w:sz w:val="22"/>
          <w:szCs w:val="22"/>
          <w:shd w:val="clear" w:color="auto" w:fill="FFFFFF"/>
        </w:rPr>
        <w:t> </w:t>
      </w:r>
    </w:p>
    <w:p w:rsidR="00BB03D2" w:rsidRDefault="004F4B70" w14:paraId="728264C4" w14:textId="77777777">
      <w:pPr>
        <w:spacing w:after="160"/>
        <w:ind w:left="66"/>
        <w:rPr>
          <w:rFonts w:eastAsia="Calibri" w:asciiTheme="minorHAnsi" w:hAnsiTheme="minorHAnsi" w:cstheme="minorHAnsi"/>
          <w:b/>
          <w:bCs/>
          <w:sz w:val="22"/>
          <w:szCs w:val="22"/>
          <w:u w:val="single"/>
          <w:lang w:val="en-US" w:eastAsia="en-US"/>
        </w:rPr>
      </w:pPr>
      <w:r>
        <w:rPr>
          <w:rFonts w:eastAsia="Calibri" w:asciiTheme="minorHAnsi" w:hAnsiTheme="minorHAnsi" w:cstheme="minorHAnsi"/>
          <w:b/>
          <w:bCs/>
          <w:sz w:val="22"/>
          <w:szCs w:val="22"/>
          <w:u w:val="single"/>
          <w:lang w:val="en-US" w:eastAsia="en-US"/>
        </w:rPr>
        <w:t xml:space="preserve">OU </w:t>
      </w:r>
    </w:p>
    <w:p w:rsidR="00BB03D2" w:rsidRDefault="004F4B70" w14:paraId="0F60B6C8" w14:textId="77777777">
      <w:pPr>
        <w:pStyle w:val="Paragraphedeliste1"/>
        <w:numPr>
          <w:ilvl w:val="0"/>
          <w:numId w:val="6"/>
        </w:numPr>
        <w:spacing w:after="0" w:line="240" w:lineRule="auto"/>
        <w:jc w:val="both"/>
        <w:rPr>
          <w:rFonts w:asciiTheme="minorHAnsi" w:hAnsiTheme="minorHAnsi" w:cstheme="minorHAnsi"/>
          <w:b/>
          <w:bCs/>
          <w:lang w:val="fr-FR"/>
        </w:rPr>
      </w:pPr>
      <w:r>
        <w:rPr>
          <w:rFonts w:asciiTheme="minorHAnsi" w:hAnsiTheme="minorHAnsi" w:cstheme="minorHAnsi"/>
          <w:b/>
          <w:bCs/>
          <w:lang w:val="fr-FR"/>
        </w:rPr>
        <w:t>Domaine d’impact</w:t>
      </w:r>
      <w:r>
        <w:rPr>
          <w:rStyle w:val="normaltextrun"/>
          <w:rFonts w:ascii="Calibri" w:hAnsi="Calibri" w:cs="Calibri"/>
          <w:b/>
          <w:bCs/>
          <w:color w:val="000000"/>
          <w:shd w:val="clear" w:color="auto" w:fill="FFFFFF"/>
          <w:lang w:val="fr-FR"/>
        </w:rPr>
        <w:t xml:space="preserve"> </w:t>
      </w:r>
      <w:r>
        <w:rPr>
          <w:rFonts w:asciiTheme="minorHAnsi" w:hAnsiTheme="minorHAnsi" w:cstheme="minorHAnsi"/>
          <w:b/>
          <w:bCs/>
          <w:lang w:val="fr-FR"/>
        </w:rPr>
        <w:t>6 du WPHF </w:t>
      </w:r>
      <w:r>
        <w:rPr>
          <w:rFonts w:asciiTheme="minorHAnsi" w:hAnsiTheme="minorHAnsi" w:cstheme="minorHAnsi"/>
          <w:i/>
          <w:iCs/>
          <w:lang w:val="fr-FR"/>
        </w:rPr>
        <w:t xml:space="preserve">: </w:t>
      </w:r>
      <w:r>
        <w:rPr>
          <w:rFonts w:asciiTheme="minorHAnsi" w:hAnsiTheme="minorHAnsi" w:cstheme="minorHAnsi"/>
          <w:lang w:val="fr-FR"/>
        </w:rPr>
        <w:t>Amélioration du relèvement socio-économique et de la participation politique des femmes et des filles dans les contextes de consolidation de la paix.</w:t>
      </w:r>
    </w:p>
    <w:p w:rsidR="00BB03D2" w:rsidRDefault="00BB03D2" w14:paraId="0C50C8A3" w14:textId="77777777">
      <w:pPr>
        <w:jc w:val="both"/>
        <w:rPr>
          <w:rFonts w:asciiTheme="minorHAnsi" w:hAnsiTheme="minorHAnsi" w:cstheme="minorHAnsi"/>
          <w:bCs/>
        </w:rPr>
      </w:pPr>
    </w:p>
    <w:p w:rsidR="00BB03D2" w:rsidRDefault="00BB03D2" w14:paraId="122DCE9D" w14:textId="77777777">
      <w:pPr>
        <w:jc w:val="both"/>
        <w:rPr>
          <w:rFonts w:asciiTheme="minorHAnsi" w:hAnsiTheme="minorHAnsi" w:cstheme="minorHAnsi"/>
          <w:bCs/>
        </w:rPr>
      </w:pPr>
    </w:p>
    <w:p w:rsidR="00BB03D2" w:rsidRDefault="004F4B70" w14:paraId="025C15C3" w14:textId="77777777">
      <w:pPr>
        <w:jc w:val="both"/>
        <w:rPr>
          <w:rFonts w:asciiTheme="minorHAnsi" w:hAnsiTheme="minorHAnsi" w:cstheme="minorHAnsi"/>
          <w:bCs/>
          <w:sz w:val="22"/>
          <w:szCs w:val="22"/>
        </w:rPr>
      </w:pPr>
      <w:r>
        <w:rPr>
          <w:rFonts w:asciiTheme="minorHAnsi" w:hAnsiTheme="minorHAnsi" w:cstheme="minorHAnsi"/>
          <w:bCs/>
          <w:sz w:val="22"/>
          <w:szCs w:val="22"/>
        </w:rPr>
        <w:t>Veuillez consulter les fiches conseils des indicateurs du WPHF pour obtenir des conseils sur le tableau de résultats (section 9 ci-dessous) et les indicateurs requis dans le modèle de candidature ci-joint.</w:t>
      </w:r>
    </w:p>
    <w:p w:rsidR="00BB03D2" w:rsidRDefault="00BB03D2" w14:paraId="21BB7A36" w14:textId="77777777">
      <w:pPr>
        <w:ind w:left="360" w:hanging="360"/>
        <w:rPr>
          <w:rFonts w:asciiTheme="minorHAnsi" w:hAnsiTheme="minorHAnsi" w:cstheme="minorHAnsi"/>
          <w:bCs/>
          <w:sz w:val="22"/>
          <w:szCs w:val="22"/>
        </w:rPr>
      </w:pPr>
    </w:p>
    <w:p w:rsidR="00BB03D2" w:rsidRDefault="004F4B70" w14:paraId="304C2F14" w14:textId="77777777">
      <w:pPr>
        <w:ind w:left="360" w:hanging="360"/>
        <w:rPr>
          <w:rFonts w:asciiTheme="minorHAnsi" w:hAnsiTheme="minorHAnsi" w:cstheme="minorHAnsi"/>
          <w:b/>
          <w:sz w:val="22"/>
          <w:szCs w:val="22"/>
        </w:rPr>
      </w:pPr>
      <w:r>
        <w:rPr>
          <w:rFonts w:asciiTheme="minorHAnsi" w:hAnsiTheme="minorHAnsi" w:cstheme="minorHAnsi"/>
          <w:b/>
          <w:bCs/>
          <w:color w:val="009FE4"/>
        </w:rPr>
        <w:t>6.  Documents requis pour le dépôt de candidature</w:t>
      </w:r>
    </w:p>
    <w:p w:rsidR="00BB03D2" w:rsidRDefault="004F4B70" w14:paraId="75B6EB5A" w14:textId="77777777">
      <w:pPr>
        <w:rPr>
          <w:rFonts w:asciiTheme="minorHAnsi" w:hAnsiTheme="minorHAnsi" w:cstheme="minorHAnsi"/>
          <w:sz w:val="22"/>
          <w:szCs w:val="22"/>
        </w:rPr>
      </w:pPr>
      <w:r>
        <w:rPr>
          <w:rFonts w:asciiTheme="minorHAnsi" w:hAnsiTheme="minorHAnsi" w:cstheme="minorHAnsi"/>
          <w:sz w:val="22"/>
          <w:szCs w:val="22"/>
        </w:rPr>
        <w:t xml:space="preserve">Les organisations postulantes sont tenues d’utiliser les modèles de candidature fournies par le WPHF. Veuillez NE PAS soumettre de photos ou de documents autres que ceux énumérés ci-dessus. </w:t>
      </w:r>
    </w:p>
    <w:p w:rsidR="00BB03D2" w:rsidRDefault="00BB03D2" w14:paraId="056FDAC7" w14:textId="77777777">
      <w:pPr>
        <w:rPr>
          <w:rFonts w:asciiTheme="minorHAnsi" w:hAnsiTheme="minorHAnsi" w:cstheme="minorHAnsi"/>
          <w:sz w:val="22"/>
          <w:szCs w:val="22"/>
        </w:rPr>
      </w:pPr>
    </w:p>
    <w:p w:rsidR="00BB03D2" w:rsidRDefault="004F4B70" w14:paraId="2F28BA2B" w14:textId="77777777">
      <w:pPr>
        <w:pStyle w:val="Paragraphedeliste1"/>
        <w:numPr>
          <w:ilvl w:val="0"/>
          <w:numId w:val="7"/>
        </w:numPr>
        <w:spacing w:line="240" w:lineRule="auto"/>
        <w:rPr>
          <w:rFonts w:asciiTheme="minorHAnsi" w:hAnsiTheme="minorHAnsi" w:cstheme="minorHAnsi"/>
          <w:lang w:val="fr-FR"/>
        </w:rPr>
      </w:pPr>
      <w:r>
        <w:rPr>
          <w:rFonts w:asciiTheme="minorHAnsi" w:hAnsiTheme="minorHAnsi" w:cstheme="minorHAnsi"/>
          <w:lang w:val="fr-FR"/>
        </w:rPr>
        <w:t>Document de projet (en pièce jointe, pas plus de 10 pages en plus des annexes A et B)</w:t>
      </w:r>
    </w:p>
    <w:p w:rsidR="00BB03D2" w:rsidRDefault="004F4B70" w14:paraId="487ACE1A" w14:textId="77777777">
      <w:pPr>
        <w:pStyle w:val="Paragraphedeliste1"/>
        <w:numPr>
          <w:ilvl w:val="0"/>
          <w:numId w:val="7"/>
        </w:numPr>
        <w:spacing w:line="240" w:lineRule="auto"/>
        <w:rPr>
          <w:rFonts w:asciiTheme="minorHAnsi" w:hAnsiTheme="minorHAnsi" w:cstheme="minorHAnsi"/>
          <w:lang w:val="fr-FR"/>
        </w:rPr>
      </w:pPr>
      <w:r>
        <w:rPr>
          <w:rFonts w:asciiTheme="minorHAnsi" w:hAnsiTheme="minorHAnsi" w:cstheme="minorHAnsi"/>
          <w:lang w:val="fr-FR"/>
        </w:rPr>
        <w:t>Tableau de résultats (voir l’annexe A du document de projet)</w:t>
      </w:r>
    </w:p>
    <w:p w:rsidR="00BB03D2" w:rsidRDefault="004F4B70" w14:paraId="2A41840D" w14:textId="77777777">
      <w:pPr>
        <w:pStyle w:val="Paragraphedeliste1"/>
        <w:numPr>
          <w:ilvl w:val="0"/>
          <w:numId w:val="7"/>
        </w:numPr>
        <w:spacing w:line="240" w:lineRule="auto"/>
        <w:rPr>
          <w:rFonts w:asciiTheme="minorHAnsi" w:hAnsiTheme="minorHAnsi" w:cstheme="minorHAnsi"/>
          <w:lang w:val="fr-FR"/>
        </w:rPr>
      </w:pPr>
      <w:r>
        <w:rPr>
          <w:rFonts w:asciiTheme="minorHAnsi" w:hAnsiTheme="minorHAnsi" w:cstheme="minorHAnsi"/>
          <w:lang w:val="fr-FR"/>
        </w:rPr>
        <w:lastRenderedPageBreak/>
        <w:t>Budget prévisionnel (voir l’annexe B du document de projet)</w:t>
      </w:r>
      <w:r>
        <w:rPr>
          <w:rFonts w:asciiTheme="minorHAnsi" w:hAnsiTheme="minorHAnsi" w:cstheme="minorHAnsi"/>
          <w:lang w:val="fr-FR"/>
        </w:rPr>
        <w:tab/>
      </w:r>
    </w:p>
    <w:p w:rsidR="00BB03D2" w:rsidRDefault="004F4B70" w14:paraId="2E73C0F0" w14:textId="77777777">
      <w:pPr>
        <w:ind w:left="360"/>
        <w:rPr>
          <w:rFonts w:asciiTheme="minorHAnsi" w:hAnsiTheme="minorHAnsi" w:cstheme="minorHAnsi"/>
          <w:sz w:val="22"/>
          <w:szCs w:val="22"/>
        </w:rPr>
      </w:pPr>
      <w:r>
        <w:rPr>
          <w:rFonts w:asciiTheme="minorHAnsi" w:hAnsiTheme="minorHAnsi" w:cstheme="minorHAnsi"/>
          <w:sz w:val="22"/>
          <w:szCs w:val="22"/>
        </w:rPr>
        <w:t>ET</w:t>
      </w:r>
    </w:p>
    <w:p w:rsidR="00BB03D2" w:rsidRDefault="004F4B70" w14:paraId="29BD8557" w14:textId="77777777">
      <w:pPr>
        <w:pStyle w:val="Paragraphedeliste1"/>
        <w:numPr>
          <w:ilvl w:val="0"/>
          <w:numId w:val="8"/>
        </w:numPr>
        <w:spacing w:line="240" w:lineRule="auto"/>
        <w:rPr>
          <w:rFonts w:asciiTheme="minorHAnsi" w:hAnsiTheme="minorHAnsi" w:cstheme="minorHAnsi"/>
          <w:lang w:val="fr-FR"/>
        </w:rPr>
      </w:pPr>
      <w:r>
        <w:rPr>
          <w:rFonts w:asciiTheme="minorHAnsi" w:hAnsiTheme="minorHAnsi" w:cstheme="minorHAnsi"/>
          <w:lang w:val="fr-FR"/>
        </w:rPr>
        <w:t>Preuve du statut juridique ou de l’enregistrement légal du demandeur principal (si vous êtes en cours de renouvellement, veuillez envoyer la preuve de dépôt)</w:t>
      </w:r>
    </w:p>
    <w:p w:rsidR="00BB03D2" w:rsidP="00C77323" w:rsidRDefault="00BB03D2" w14:paraId="340E0F6D" w14:textId="77777777">
      <w:pPr>
        <w:pStyle w:val="Paragraphedeliste1"/>
        <w:spacing w:line="240" w:lineRule="auto"/>
        <w:ind w:left="1080"/>
        <w:rPr>
          <w:rFonts w:asciiTheme="minorHAnsi" w:hAnsiTheme="minorHAnsi" w:cstheme="minorHAnsi"/>
          <w:lang w:val="fr-FR"/>
        </w:rPr>
      </w:pPr>
    </w:p>
    <w:p w:rsidR="00BB03D2" w:rsidP="4C74353F" w:rsidRDefault="004F4B70" w14:paraId="1A72A91C" w14:textId="38BFCC08">
      <w:pPr>
        <w:rPr>
          <w:rFonts w:ascii="Calibri" w:hAnsi="Calibri" w:cs="Arial" w:asciiTheme="minorAscii" w:hAnsiTheme="minorAscii" w:cstheme="minorBidi"/>
          <w:b w:val="1"/>
          <w:bCs w:val="1"/>
        </w:rPr>
      </w:pPr>
      <w:r w:rsidRPr="6DF0D157" w:rsidR="004F4B70">
        <w:rPr>
          <w:rFonts w:ascii="Calibri" w:hAnsi="Calibri" w:cs="Arial" w:asciiTheme="minorAscii" w:hAnsiTheme="minorAscii" w:cstheme="minorBidi"/>
          <w:b w:val="1"/>
          <w:bCs w:val="1"/>
        </w:rPr>
        <w:t>Soumission : Les dossiers de demande doivent être envoyés par courriel à [</w:t>
      </w:r>
      <w:r w:rsidRPr="6DF0D157" w:rsidR="004F4B70">
        <w:rPr>
          <w:rFonts w:ascii="Calibri" w:hAnsi="Calibri" w:cs="Arial" w:asciiTheme="minorAscii" w:hAnsiTheme="minorAscii" w:cstheme="minorBidi"/>
          <w:b w:val="1"/>
          <w:bCs w:val="1"/>
        </w:rPr>
        <w:t>WPHFapplications@unwomen.org]  au</w:t>
      </w:r>
      <w:r w:rsidRPr="6DF0D157" w:rsidR="004F4B70">
        <w:rPr>
          <w:rFonts w:ascii="Calibri" w:hAnsi="Calibri" w:cs="Arial" w:asciiTheme="minorAscii" w:hAnsiTheme="minorAscii" w:cstheme="minorBidi"/>
          <w:b w:val="1"/>
          <w:bCs w:val="1"/>
        </w:rPr>
        <w:t xml:space="preserve"> plus tard le </w:t>
      </w:r>
      <w:r w:rsidRPr="6DF0D157" w:rsidR="78501A42">
        <w:rPr>
          <w:rFonts w:ascii="Calibri" w:hAnsi="Calibri" w:cs="Arial" w:asciiTheme="minorAscii" w:hAnsiTheme="minorAscii" w:cstheme="minorBidi"/>
          <w:b w:val="1"/>
          <w:bCs w:val="1"/>
        </w:rPr>
        <w:t>4</w:t>
      </w:r>
      <w:r w:rsidRPr="6DF0D157" w:rsidR="001D3D8D">
        <w:rPr>
          <w:rFonts w:ascii="Calibri" w:hAnsi="Calibri" w:cs="Arial" w:asciiTheme="minorAscii" w:hAnsiTheme="minorAscii" w:cstheme="minorBidi"/>
          <w:b w:val="1"/>
          <w:bCs w:val="1"/>
        </w:rPr>
        <w:t xml:space="preserve"> </w:t>
      </w:r>
      <w:r w:rsidRPr="6DF0D157" w:rsidR="001D3D8D">
        <w:rPr>
          <w:rFonts w:ascii="Calibri" w:hAnsi="Calibri" w:cs="Arial" w:asciiTheme="minorAscii" w:hAnsiTheme="minorAscii" w:cstheme="minorBidi"/>
          <w:b w:val="1"/>
          <w:bCs w:val="1"/>
        </w:rPr>
        <w:t>mai</w:t>
      </w:r>
      <w:r w:rsidRPr="6DF0D157" w:rsidR="004F4B70">
        <w:rPr>
          <w:rFonts w:ascii="Calibri" w:hAnsi="Calibri" w:cs="Arial" w:asciiTheme="minorAscii" w:hAnsiTheme="minorAscii" w:cstheme="minorBidi"/>
          <w:b w:val="1"/>
          <w:bCs w:val="1"/>
        </w:rPr>
        <w:t xml:space="preserve"> 2023 à 23h59 (</w:t>
      </w:r>
      <w:r w:rsidRPr="6DF0D157" w:rsidR="004F4B70">
        <w:rPr>
          <w:rFonts w:ascii="Calibri" w:hAnsi="Calibri" w:cs="Arial" w:asciiTheme="minorAscii" w:hAnsiTheme="minorAscii" w:cstheme="minorBidi"/>
          <w:b w:val="1"/>
          <w:bCs w:val="1"/>
        </w:rPr>
        <w:t>Eastern</w:t>
      </w:r>
      <w:r w:rsidRPr="6DF0D157" w:rsidR="004F4B70">
        <w:rPr>
          <w:rFonts w:ascii="Calibri" w:hAnsi="Calibri" w:cs="Arial" w:asciiTheme="minorAscii" w:hAnsiTheme="minorAscii" w:cstheme="minorBidi"/>
          <w:b w:val="1"/>
          <w:bCs w:val="1"/>
        </w:rPr>
        <w:t xml:space="preserve"> time).</w:t>
      </w:r>
    </w:p>
    <w:p w:rsidR="00BB03D2" w:rsidRDefault="00BB03D2" w14:paraId="73CD9714" w14:textId="77777777">
      <w:pPr>
        <w:rPr>
          <w:rFonts w:asciiTheme="minorHAnsi" w:hAnsiTheme="minorHAnsi" w:cstheme="minorHAnsi"/>
          <w:sz w:val="22"/>
          <w:szCs w:val="22"/>
        </w:rPr>
      </w:pPr>
    </w:p>
    <w:p w:rsidR="00BB03D2" w:rsidRDefault="004F4B70" w14:paraId="3129C9D6" w14:textId="77777777">
      <w:pPr>
        <w:rPr>
          <w:rFonts w:asciiTheme="minorHAnsi" w:hAnsiTheme="minorHAnsi" w:cstheme="minorHAnsi"/>
          <w:b/>
          <w:bCs/>
          <w:sz w:val="22"/>
          <w:szCs w:val="22"/>
        </w:rPr>
      </w:pPr>
      <w:r>
        <w:rPr>
          <w:rFonts w:asciiTheme="minorHAnsi" w:hAnsiTheme="minorHAnsi" w:cstheme="minorHAnsi"/>
          <w:b/>
          <w:bCs/>
          <w:sz w:val="22"/>
          <w:szCs w:val="22"/>
        </w:rPr>
        <w:t xml:space="preserve">À noter : </w:t>
      </w:r>
    </w:p>
    <w:p w:rsidR="00BB03D2" w:rsidRDefault="004F4B70" w14:paraId="2B30DC0D" w14:textId="7FAFB6C8">
      <w:pPr>
        <w:pStyle w:val="Paragraphedeliste1"/>
        <w:numPr>
          <w:ilvl w:val="0"/>
          <w:numId w:val="9"/>
        </w:numPr>
        <w:spacing w:after="0" w:line="240" w:lineRule="auto"/>
        <w:rPr>
          <w:rFonts w:asciiTheme="minorHAnsi" w:hAnsiTheme="minorHAnsi" w:cstheme="minorBidi"/>
          <w:lang w:val="fr-FR"/>
        </w:rPr>
      </w:pPr>
      <w:r>
        <w:rPr>
          <w:rFonts w:asciiTheme="minorHAnsi" w:hAnsiTheme="minorHAnsi" w:cstheme="minorBidi"/>
          <w:lang w:val="fr-FR"/>
        </w:rPr>
        <w:t xml:space="preserve">Les candidatures doivent être rédigées en </w:t>
      </w:r>
      <w:r w:rsidR="00C77323">
        <w:rPr>
          <w:rFonts w:asciiTheme="minorHAnsi" w:hAnsiTheme="minorHAnsi" w:cstheme="minorBidi"/>
          <w:b/>
          <w:bCs/>
          <w:lang w:val="fr-FR"/>
        </w:rPr>
        <w:t>f</w:t>
      </w:r>
      <w:r>
        <w:rPr>
          <w:rFonts w:asciiTheme="minorHAnsi" w:hAnsiTheme="minorHAnsi" w:cstheme="minorBidi"/>
          <w:b/>
          <w:bCs/>
          <w:lang w:val="fr-FR"/>
        </w:rPr>
        <w:t>rançais ou en anglais</w:t>
      </w:r>
      <w:r>
        <w:rPr>
          <w:rFonts w:asciiTheme="minorHAnsi" w:hAnsiTheme="minorHAnsi" w:cstheme="minorBidi"/>
          <w:lang w:val="fr-FR"/>
        </w:rPr>
        <w:t>. Seules les candidatures dans ces langues seront acceptées.</w:t>
      </w:r>
    </w:p>
    <w:p w:rsidR="00BB03D2" w:rsidRDefault="004F4B70" w14:paraId="41AD1CD2" w14:textId="77777777">
      <w:pPr>
        <w:pStyle w:val="Paragraphedeliste1"/>
        <w:numPr>
          <w:ilvl w:val="0"/>
          <w:numId w:val="9"/>
        </w:numPr>
        <w:spacing w:after="0" w:line="240" w:lineRule="auto"/>
        <w:jc w:val="both"/>
        <w:rPr>
          <w:rFonts w:asciiTheme="minorHAnsi" w:hAnsiTheme="minorHAnsi" w:cstheme="minorHAnsi"/>
          <w:lang w:val="fr-FR"/>
        </w:rPr>
      </w:pPr>
      <w:r>
        <w:rPr>
          <w:rFonts w:asciiTheme="minorHAnsi" w:hAnsiTheme="minorHAnsi" w:cstheme="minorHAnsi"/>
          <w:lang w:val="fr-FR"/>
        </w:rPr>
        <w:t xml:space="preserve">Les candidatures peuvent être soumises en format .doc, .docx </w:t>
      </w:r>
      <w:proofErr w:type="gramStart"/>
      <w:r>
        <w:rPr>
          <w:rFonts w:asciiTheme="minorHAnsi" w:hAnsiTheme="minorHAnsi" w:cstheme="minorHAnsi"/>
          <w:lang w:val="fr-FR"/>
        </w:rPr>
        <w:t>ou</w:t>
      </w:r>
      <w:proofErr w:type="gramEnd"/>
      <w:r>
        <w:rPr>
          <w:rFonts w:asciiTheme="minorHAnsi" w:hAnsiTheme="minorHAnsi" w:cstheme="minorHAnsi"/>
          <w:lang w:val="fr-FR"/>
        </w:rPr>
        <w:t xml:space="preserve"> .</w:t>
      </w:r>
      <w:proofErr w:type="spellStart"/>
      <w:r>
        <w:rPr>
          <w:rFonts w:asciiTheme="minorHAnsi" w:hAnsiTheme="minorHAnsi" w:cstheme="minorHAnsi"/>
          <w:lang w:val="fr-FR"/>
        </w:rPr>
        <w:t>pdf</w:t>
      </w:r>
      <w:proofErr w:type="spellEnd"/>
      <w:r>
        <w:rPr>
          <w:rFonts w:asciiTheme="minorHAnsi" w:hAnsiTheme="minorHAnsi" w:cstheme="minorHAnsi"/>
          <w:lang w:val="fr-FR"/>
        </w:rPr>
        <w:t xml:space="preserve">. </w:t>
      </w:r>
    </w:p>
    <w:p w:rsidR="00BB03D2" w:rsidRDefault="004F4B70" w14:paraId="29377EF4" w14:textId="77777777">
      <w:pPr>
        <w:pStyle w:val="Paragraphedeliste1"/>
        <w:numPr>
          <w:ilvl w:val="0"/>
          <w:numId w:val="9"/>
        </w:numPr>
        <w:spacing w:after="0" w:line="240" w:lineRule="auto"/>
        <w:jc w:val="both"/>
        <w:rPr>
          <w:rFonts w:asciiTheme="minorHAnsi" w:hAnsiTheme="minorHAnsi" w:cstheme="minorHAnsi"/>
          <w:lang w:val="fr-FR"/>
        </w:rPr>
      </w:pPr>
      <w:r>
        <w:rPr>
          <w:rFonts w:asciiTheme="minorHAnsi" w:hAnsiTheme="minorHAnsi" w:cstheme="minorHAnsi"/>
          <w:lang w:val="fr-FR"/>
        </w:rPr>
        <w:t xml:space="preserve">Les certificats d'enregistrement légal peuvent être soumis en format .jpeg, .doc, .docx </w:t>
      </w:r>
      <w:proofErr w:type="gramStart"/>
      <w:r>
        <w:rPr>
          <w:rFonts w:asciiTheme="minorHAnsi" w:hAnsiTheme="minorHAnsi" w:cstheme="minorHAnsi"/>
          <w:lang w:val="fr-FR"/>
        </w:rPr>
        <w:t>ou</w:t>
      </w:r>
      <w:proofErr w:type="gramEnd"/>
      <w:r>
        <w:rPr>
          <w:rFonts w:asciiTheme="minorHAnsi" w:hAnsiTheme="minorHAnsi" w:cstheme="minorHAnsi"/>
          <w:lang w:val="fr-FR"/>
        </w:rPr>
        <w:t xml:space="preserve"> .</w:t>
      </w:r>
      <w:proofErr w:type="spellStart"/>
      <w:r>
        <w:rPr>
          <w:rFonts w:asciiTheme="minorHAnsi" w:hAnsiTheme="minorHAnsi" w:cstheme="minorHAnsi"/>
          <w:lang w:val="fr-FR"/>
        </w:rPr>
        <w:t>pdf</w:t>
      </w:r>
      <w:proofErr w:type="spellEnd"/>
      <w:r>
        <w:rPr>
          <w:rFonts w:asciiTheme="minorHAnsi" w:hAnsiTheme="minorHAnsi" w:cstheme="minorHAnsi"/>
          <w:lang w:val="fr-FR"/>
        </w:rPr>
        <w:t xml:space="preserve">. </w:t>
      </w:r>
    </w:p>
    <w:p w:rsidR="00BB03D2" w:rsidRDefault="004F4B70" w14:paraId="510E283D" w14:textId="77777777">
      <w:pPr>
        <w:pStyle w:val="Paragraphedeliste1"/>
        <w:numPr>
          <w:ilvl w:val="0"/>
          <w:numId w:val="9"/>
        </w:numPr>
        <w:spacing w:after="0" w:line="240" w:lineRule="auto"/>
        <w:jc w:val="both"/>
        <w:rPr>
          <w:rFonts w:asciiTheme="minorHAnsi" w:hAnsiTheme="minorHAnsi" w:cstheme="minorHAnsi"/>
          <w:lang w:val="fr-FR"/>
        </w:rPr>
      </w:pPr>
      <w:r>
        <w:rPr>
          <w:rFonts w:asciiTheme="minorHAnsi" w:hAnsiTheme="minorHAnsi" w:cstheme="minorHAnsi"/>
          <w:lang w:val="fr-FR"/>
        </w:rPr>
        <w:t>Tous les documents doivent être soumis ensemble dans un même dossier.</w:t>
      </w:r>
    </w:p>
    <w:p w:rsidR="00BB03D2" w:rsidRDefault="004F4B70" w14:paraId="272A7E95" w14:textId="77777777">
      <w:pPr>
        <w:pStyle w:val="Paragraphedeliste1"/>
        <w:numPr>
          <w:ilvl w:val="0"/>
          <w:numId w:val="9"/>
        </w:numPr>
        <w:spacing w:line="240" w:lineRule="auto"/>
        <w:rPr>
          <w:rFonts w:asciiTheme="minorHAnsi" w:hAnsiTheme="minorHAnsi" w:cstheme="minorHAnsi"/>
          <w:lang w:val="fr-FR"/>
        </w:rPr>
      </w:pPr>
      <w:r>
        <w:rPr>
          <w:rFonts w:asciiTheme="minorHAnsi" w:hAnsiTheme="minorHAnsi" w:cstheme="minorHAnsi"/>
          <w:bCs/>
          <w:lang w:val="fr-FR"/>
        </w:rPr>
        <w:t xml:space="preserve">Vous </w:t>
      </w:r>
      <w:r>
        <w:rPr>
          <w:rFonts w:asciiTheme="minorHAnsi" w:hAnsiTheme="minorHAnsi" w:cstheme="minorHAnsi"/>
          <w:lang w:val="fr-FR"/>
        </w:rPr>
        <w:t>ne pouvez pas apporter de modifications à votre demande après qu’elle a été soumise.</w:t>
      </w:r>
    </w:p>
    <w:p w:rsidR="00BB03D2" w:rsidRDefault="004F4B70" w14:paraId="2446EC7A" w14:textId="77777777">
      <w:pPr>
        <w:pStyle w:val="Paragraphedeliste1"/>
        <w:numPr>
          <w:ilvl w:val="0"/>
          <w:numId w:val="10"/>
        </w:numPr>
        <w:spacing w:after="0" w:line="240" w:lineRule="auto"/>
        <w:rPr>
          <w:rFonts w:asciiTheme="minorHAnsi" w:hAnsiTheme="minorHAnsi" w:cstheme="minorHAnsi"/>
          <w:lang w:val="fr-FR"/>
        </w:rPr>
      </w:pPr>
      <w:r>
        <w:rPr>
          <w:rFonts w:asciiTheme="minorHAnsi" w:hAnsiTheme="minorHAnsi" w:cstheme="minorHAnsi"/>
          <w:lang w:val="fr-FR"/>
        </w:rPr>
        <w:t>Les demandes incomplètes ou l’utilisation de modèles différents ne seront pas prises en considération.</w:t>
      </w:r>
    </w:p>
    <w:p w:rsidR="00BB03D2" w:rsidRDefault="004F4B70" w14:paraId="4FEACFB3" w14:textId="77777777">
      <w:pPr>
        <w:pStyle w:val="Paragraphedeliste1"/>
        <w:numPr>
          <w:ilvl w:val="0"/>
          <w:numId w:val="10"/>
        </w:numPr>
        <w:spacing w:after="0" w:line="240" w:lineRule="auto"/>
        <w:jc w:val="both"/>
        <w:rPr>
          <w:rFonts w:asciiTheme="minorHAnsi" w:hAnsiTheme="minorHAnsi" w:cstheme="minorHAnsi"/>
          <w:bCs/>
          <w:lang w:val="fr-FR"/>
        </w:rPr>
      </w:pPr>
      <w:r>
        <w:rPr>
          <w:rFonts w:asciiTheme="minorHAnsi" w:hAnsiTheme="minorHAnsi" w:cstheme="minorHAnsi"/>
          <w:bCs/>
          <w:lang w:val="fr-FR"/>
        </w:rPr>
        <w:t>Veuillez NE PAS renvoyer votre demande à moins que vous ne receviez pas d’accusé de réception dans les trois jours.</w:t>
      </w:r>
    </w:p>
    <w:p w:rsidR="00BB03D2" w:rsidRDefault="00BB03D2" w14:paraId="7E2ED586" w14:textId="77777777">
      <w:pPr>
        <w:rPr>
          <w:rFonts w:asciiTheme="minorHAnsi" w:hAnsiTheme="minorHAnsi" w:cstheme="minorHAnsi"/>
          <w:sz w:val="22"/>
          <w:szCs w:val="22"/>
        </w:rPr>
      </w:pPr>
    </w:p>
    <w:p w:rsidR="00BB03D2" w:rsidRDefault="004F4B70" w14:paraId="65C26B2A" w14:textId="77777777">
      <w:pPr>
        <w:jc w:val="both"/>
        <w:rPr>
          <w:rFonts w:asciiTheme="minorHAnsi" w:hAnsiTheme="minorHAnsi" w:cstheme="minorHAnsi"/>
          <w:b/>
          <w:bCs/>
          <w:color w:val="009FE4"/>
        </w:rPr>
      </w:pPr>
      <w:r>
        <w:rPr>
          <w:rFonts w:asciiTheme="minorHAnsi" w:hAnsiTheme="minorHAnsi" w:cstheme="minorHAnsi"/>
          <w:b/>
          <w:bCs/>
          <w:color w:val="009FE4"/>
        </w:rPr>
        <w:t>7.   Plus d’informations sur l’appel à propositions</w:t>
      </w:r>
    </w:p>
    <w:p w:rsidR="00BB03D2" w:rsidRDefault="004F4B70" w14:paraId="6E962344" w14:textId="45333DEA">
      <w:pPr>
        <w:jc w:val="both"/>
        <w:rPr>
          <w:rFonts w:asciiTheme="minorHAnsi" w:hAnsiTheme="minorHAnsi" w:cstheme="minorBidi"/>
          <w:sz w:val="22"/>
          <w:szCs w:val="22"/>
        </w:rPr>
      </w:pPr>
      <w:r>
        <w:rPr>
          <w:rFonts w:asciiTheme="minorHAnsi" w:hAnsiTheme="minorHAnsi" w:cstheme="minorBidi"/>
          <w:sz w:val="22"/>
          <w:szCs w:val="22"/>
        </w:rPr>
        <w:t xml:space="preserve">Une séance d’information sera organisée avec les candidats </w:t>
      </w:r>
      <w:r w:rsidRPr="003D0621">
        <w:rPr>
          <w:rFonts w:asciiTheme="minorHAnsi" w:hAnsiTheme="minorHAnsi" w:cstheme="minorBidi"/>
          <w:sz w:val="22"/>
          <w:szCs w:val="22"/>
        </w:rPr>
        <w:t xml:space="preserve">potentiels le </w:t>
      </w:r>
      <w:r w:rsidRPr="003D0621" w:rsidR="003D0621">
        <w:rPr>
          <w:rFonts w:asciiTheme="minorHAnsi" w:hAnsiTheme="minorHAnsi" w:cstheme="minorBidi"/>
          <w:sz w:val="22"/>
          <w:szCs w:val="22"/>
        </w:rPr>
        <w:t>mercredi 12 avril 2023</w:t>
      </w:r>
      <w:r w:rsidRPr="003D0621">
        <w:rPr>
          <w:rFonts w:asciiTheme="minorHAnsi" w:hAnsiTheme="minorHAnsi" w:cstheme="minorBidi"/>
          <w:sz w:val="22"/>
          <w:szCs w:val="22"/>
        </w:rPr>
        <w:t xml:space="preserve"> en ligne.</w:t>
      </w:r>
      <w:r w:rsidRPr="003D0621" w:rsidR="003D0621">
        <w:rPr>
          <w:rFonts w:asciiTheme="minorHAnsi" w:hAnsiTheme="minorHAnsi" w:cstheme="minorBidi"/>
          <w:sz w:val="22"/>
          <w:szCs w:val="22"/>
        </w:rPr>
        <w:t xml:space="preserve"> </w:t>
      </w:r>
      <w:r w:rsidRPr="003D0621">
        <w:rPr>
          <w:rFonts w:asciiTheme="minorHAnsi" w:hAnsiTheme="minorHAnsi" w:cstheme="minorBidi"/>
          <w:sz w:val="22"/>
          <w:szCs w:val="22"/>
        </w:rPr>
        <w:t xml:space="preserve">Pour vous inscrire, veuillez envoyer un courriel à l’adresse email suivante : </w:t>
      </w:r>
      <w:hyperlink w:history="1" r:id="rId10">
        <w:r w:rsidRPr="003D0621">
          <w:rPr>
            <w:rStyle w:val="Hyperlink"/>
            <w:rFonts w:asciiTheme="minorHAnsi" w:hAnsiTheme="minorHAnsi" w:cstheme="minorBidi"/>
            <w:sz w:val="22"/>
            <w:szCs w:val="22"/>
          </w:rPr>
          <w:t>christina.dezemma@unwomen.org</w:t>
        </w:r>
      </w:hyperlink>
      <w:r w:rsidRPr="003D0621">
        <w:rPr>
          <w:rFonts w:asciiTheme="minorHAnsi" w:hAnsiTheme="minorHAnsi" w:cstheme="minorBidi"/>
          <w:sz w:val="22"/>
          <w:szCs w:val="22"/>
        </w:rPr>
        <w:t xml:space="preserve">  au plus tard le </w:t>
      </w:r>
      <w:r w:rsidRPr="003D0621" w:rsidR="003D0621">
        <w:rPr>
          <w:rFonts w:asciiTheme="minorHAnsi" w:hAnsiTheme="minorHAnsi" w:cstheme="minorBidi"/>
          <w:sz w:val="22"/>
          <w:szCs w:val="22"/>
        </w:rPr>
        <w:t xml:space="preserve">10 </w:t>
      </w:r>
      <w:proofErr w:type="gramStart"/>
      <w:r w:rsidRPr="003D0621" w:rsidR="003D0621">
        <w:rPr>
          <w:rFonts w:asciiTheme="minorHAnsi" w:hAnsiTheme="minorHAnsi" w:cstheme="minorBidi"/>
          <w:sz w:val="22"/>
          <w:szCs w:val="22"/>
        </w:rPr>
        <w:t xml:space="preserve">avril </w:t>
      </w:r>
      <w:r w:rsidRPr="003D0621">
        <w:rPr>
          <w:rFonts w:asciiTheme="minorHAnsi" w:hAnsiTheme="minorHAnsi" w:cstheme="minorBidi"/>
          <w:sz w:val="22"/>
          <w:szCs w:val="22"/>
        </w:rPr>
        <w:t xml:space="preserve"> 2023</w:t>
      </w:r>
      <w:proofErr w:type="gramEnd"/>
    </w:p>
    <w:p w:rsidR="00BB03D2" w:rsidRDefault="00BB03D2" w14:paraId="28B74C2C" w14:textId="77777777">
      <w:pPr>
        <w:jc w:val="both"/>
        <w:rPr>
          <w:rFonts w:asciiTheme="minorHAnsi" w:hAnsiTheme="minorHAnsi" w:cstheme="minorHAnsi"/>
          <w:bCs/>
          <w:sz w:val="22"/>
          <w:szCs w:val="22"/>
        </w:rPr>
      </w:pPr>
    </w:p>
    <w:p w:rsidR="00BB03D2" w:rsidRDefault="004F4B70" w14:paraId="1AF1EC2F" w14:textId="76726FE2">
      <w:pPr>
        <w:jc w:val="both"/>
        <w:rPr>
          <w:rFonts w:asciiTheme="minorHAnsi" w:hAnsiTheme="minorHAnsi" w:cstheme="minorBidi"/>
          <w:sz w:val="22"/>
          <w:szCs w:val="22"/>
        </w:rPr>
      </w:pPr>
      <w:r>
        <w:rPr>
          <w:rFonts w:asciiTheme="minorHAnsi" w:hAnsiTheme="minorHAnsi" w:cstheme="minorBidi"/>
          <w:sz w:val="22"/>
          <w:szCs w:val="22"/>
        </w:rPr>
        <w:t xml:space="preserve">Les questions concernant cet appel à propositions peuvent être envoyées au bureau de pays </w:t>
      </w:r>
      <w:r w:rsidRPr="00770988">
        <w:rPr>
          <w:rFonts w:asciiTheme="minorHAnsi" w:hAnsiTheme="minorHAnsi" w:cstheme="minorBidi"/>
          <w:sz w:val="22"/>
          <w:szCs w:val="22"/>
        </w:rPr>
        <w:t xml:space="preserve">d’ONU Femmes à l’adresse email suivante : </w:t>
      </w:r>
      <w:hyperlink w:history="1" r:id="rId11">
        <w:r w:rsidRPr="00770988">
          <w:rPr>
            <w:rStyle w:val="Hyperlink"/>
            <w:rFonts w:asciiTheme="minorHAnsi" w:hAnsiTheme="minorHAnsi" w:cstheme="minorBidi"/>
            <w:sz w:val="22"/>
            <w:szCs w:val="22"/>
          </w:rPr>
          <w:t>christina.dezemma@unwomen.org</w:t>
        </w:r>
      </w:hyperlink>
      <w:r w:rsidRPr="00770988">
        <w:rPr>
          <w:rFonts w:asciiTheme="minorHAnsi" w:hAnsiTheme="minorHAnsi" w:cstheme="minorBidi"/>
          <w:sz w:val="22"/>
          <w:szCs w:val="22"/>
        </w:rPr>
        <w:t xml:space="preserve">  au plus tard le </w:t>
      </w:r>
      <w:r w:rsidRPr="00770988" w:rsidR="00DA703A">
        <w:rPr>
          <w:rFonts w:asciiTheme="minorHAnsi" w:hAnsiTheme="minorHAnsi" w:cstheme="minorBidi"/>
          <w:sz w:val="22"/>
          <w:szCs w:val="22"/>
        </w:rPr>
        <w:t>2</w:t>
      </w:r>
      <w:r w:rsidRPr="00770988" w:rsidR="00D81CFC">
        <w:rPr>
          <w:rFonts w:asciiTheme="minorHAnsi" w:hAnsiTheme="minorHAnsi" w:cstheme="minorBidi"/>
          <w:sz w:val="22"/>
          <w:szCs w:val="22"/>
        </w:rPr>
        <w:t>1</w:t>
      </w:r>
      <w:r w:rsidRPr="00770988" w:rsidR="00DA703A">
        <w:rPr>
          <w:rFonts w:asciiTheme="minorHAnsi" w:hAnsiTheme="minorHAnsi" w:cstheme="minorBidi"/>
          <w:sz w:val="22"/>
          <w:szCs w:val="22"/>
        </w:rPr>
        <w:t xml:space="preserve"> </w:t>
      </w:r>
      <w:r w:rsidRPr="00770988">
        <w:rPr>
          <w:rFonts w:asciiTheme="minorHAnsi" w:hAnsiTheme="minorHAnsi" w:cstheme="minorBidi"/>
          <w:sz w:val="22"/>
          <w:szCs w:val="22"/>
        </w:rPr>
        <w:t>avril 2023.</w:t>
      </w:r>
      <w:r>
        <w:rPr>
          <w:rFonts w:asciiTheme="minorHAnsi" w:hAnsiTheme="minorHAnsi" w:cstheme="minorBidi"/>
          <w:sz w:val="22"/>
          <w:szCs w:val="22"/>
        </w:rPr>
        <w:t xml:space="preserve"> Veuillez prévoir un minimum de 48 heures pour répondre à vos questions.</w:t>
      </w:r>
    </w:p>
    <w:p w:rsidR="00BB03D2" w:rsidRDefault="00BB03D2" w14:paraId="380375A3" w14:textId="77777777">
      <w:pPr>
        <w:rPr>
          <w:rFonts w:asciiTheme="minorHAnsi" w:hAnsiTheme="minorHAnsi" w:cstheme="minorHAnsi"/>
          <w:sz w:val="22"/>
          <w:szCs w:val="22"/>
        </w:rPr>
      </w:pPr>
    </w:p>
    <w:p w:rsidR="00BB03D2" w:rsidRDefault="004F4B70" w14:paraId="77C4ADAD" w14:textId="77777777">
      <w:pPr>
        <w:rPr>
          <w:rFonts w:asciiTheme="minorHAnsi" w:hAnsiTheme="minorHAnsi" w:cstheme="minorHAnsi"/>
          <w:b/>
          <w:bCs/>
          <w:color w:val="009FE4"/>
        </w:rPr>
      </w:pPr>
      <w:r>
        <w:rPr>
          <w:rFonts w:asciiTheme="minorHAnsi" w:hAnsiTheme="minorHAnsi" w:cstheme="minorHAnsi"/>
          <w:b/>
          <w:bCs/>
          <w:color w:val="009FE4"/>
        </w:rPr>
        <w:t xml:space="preserve">8. Critères d'évaluation </w:t>
      </w:r>
    </w:p>
    <w:p w:rsidR="00BB03D2" w:rsidRDefault="004F4B70" w14:paraId="4F47C048" w14:textId="77777777">
      <w:pPr>
        <w:rPr>
          <w:rFonts w:asciiTheme="minorHAnsi" w:hAnsiTheme="minorHAnsi" w:cstheme="minorHAnsi"/>
          <w:sz w:val="22"/>
          <w:szCs w:val="22"/>
        </w:rPr>
      </w:pPr>
      <w:r>
        <w:rPr>
          <w:rFonts w:asciiTheme="minorHAnsi" w:hAnsiTheme="minorHAnsi" w:cstheme="minorHAnsi"/>
          <w:sz w:val="22"/>
          <w:szCs w:val="22"/>
        </w:rPr>
        <w:t>Lors de la rédaction de votre candidature, veuillez garder à l’esprit que nous tiendrons compte des critères suivants pour évaluer votre proposition :</w:t>
      </w:r>
    </w:p>
    <w:p w:rsidR="00BB03D2" w:rsidRDefault="00BB03D2" w14:paraId="0EA85C81" w14:textId="77777777">
      <w:pPr>
        <w:rPr>
          <w:rFonts w:asciiTheme="minorHAnsi" w:hAnsiTheme="minorHAnsi" w:cstheme="minorHAnsi"/>
          <w:sz w:val="22"/>
          <w:szCs w:val="22"/>
        </w:rPr>
      </w:pPr>
    </w:p>
    <w:tbl>
      <w:tblPr>
        <w:tblStyle w:val="TableGrid"/>
        <w:tblW w:w="0" w:type="auto"/>
        <w:tblBorders>
          <w:top w:val="dotted" w:color="009FE4" w:sz="4" w:space="0"/>
          <w:left w:val="dotted" w:color="009FE4" w:sz="4" w:space="0"/>
          <w:bottom w:val="dotted" w:color="009FE4" w:sz="4" w:space="0"/>
          <w:right w:val="dotted" w:color="009FE4" w:sz="4" w:space="0"/>
          <w:insideH w:val="dotted" w:color="009FE4" w:sz="4" w:space="0"/>
          <w:insideV w:val="dotted" w:color="009FE4" w:sz="4" w:space="0"/>
        </w:tblBorders>
        <w:tblLook w:val="04A0" w:firstRow="1" w:lastRow="0" w:firstColumn="1" w:lastColumn="0" w:noHBand="0" w:noVBand="1"/>
      </w:tblPr>
      <w:tblGrid>
        <w:gridCol w:w="4106"/>
        <w:gridCol w:w="4956"/>
      </w:tblGrid>
      <w:tr w:rsidR="00BB03D2" w14:paraId="42F41361" w14:textId="77777777">
        <w:tc>
          <w:tcPr>
            <w:tcW w:w="4106" w:type="dxa"/>
            <w:shd w:val="clear" w:color="auto" w:fill="DEEAF6" w:themeFill="accent5" w:themeFillTint="33"/>
          </w:tcPr>
          <w:p w:rsidR="00BB03D2" w:rsidRDefault="004F4B70" w14:paraId="6BF18C3D" w14:textId="77777777">
            <w:pPr>
              <w:rPr>
                <w:rFonts w:asciiTheme="minorHAnsi" w:hAnsiTheme="minorHAnsi" w:cstheme="minorHAnsi"/>
                <w:b/>
                <w:bCs/>
                <w:sz w:val="20"/>
                <w:szCs w:val="20"/>
                <w:lang w:val="fr-CH"/>
              </w:rPr>
            </w:pPr>
            <w:r>
              <w:rPr>
                <w:rFonts w:asciiTheme="minorHAnsi" w:hAnsiTheme="minorHAnsi" w:cstheme="minorHAnsi"/>
                <w:b/>
                <w:bCs/>
                <w:sz w:val="20"/>
                <w:szCs w:val="20"/>
                <w:lang w:val="fr-CH"/>
              </w:rPr>
              <w:t>Critères d’évaluation pour le financement institutionnel (volet de financement 1)</w:t>
            </w:r>
          </w:p>
        </w:tc>
        <w:tc>
          <w:tcPr>
            <w:tcW w:w="4956" w:type="dxa"/>
            <w:shd w:val="clear" w:color="auto" w:fill="DEEAF6" w:themeFill="accent5" w:themeFillTint="33"/>
          </w:tcPr>
          <w:p w:rsidR="00BB03D2" w:rsidRDefault="004F4B70" w14:paraId="2C9DF606" w14:textId="77777777">
            <w:pPr>
              <w:rPr>
                <w:rFonts w:asciiTheme="minorHAnsi" w:hAnsiTheme="minorHAnsi" w:cstheme="minorHAnsi"/>
                <w:b/>
                <w:bCs/>
                <w:sz w:val="20"/>
                <w:szCs w:val="20"/>
                <w:lang w:val="fr-CH"/>
              </w:rPr>
            </w:pPr>
            <w:r>
              <w:rPr>
                <w:rFonts w:asciiTheme="minorHAnsi" w:hAnsiTheme="minorHAnsi" w:cstheme="minorHAnsi"/>
                <w:b/>
                <w:bCs/>
                <w:sz w:val="20"/>
                <w:szCs w:val="20"/>
                <w:lang w:val="fr-CH"/>
              </w:rPr>
              <w:t>Critères d’évaluation pour le financement programmatique (volet de financement 2)</w:t>
            </w:r>
          </w:p>
        </w:tc>
      </w:tr>
      <w:tr w:rsidR="00BB03D2" w14:paraId="54474B4D" w14:textId="77777777">
        <w:tc>
          <w:tcPr>
            <w:tcW w:w="4106" w:type="dxa"/>
          </w:tcPr>
          <w:p w:rsidR="00BB03D2" w:rsidRDefault="004F4B70" w14:paraId="289849DB" w14:textId="77777777">
            <w:pPr>
              <w:rPr>
                <w:rFonts w:asciiTheme="minorHAnsi" w:hAnsiTheme="minorHAnsi" w:cstheme="minorHAnsi"/>
                <w:b/>
                <w:bCs/>
                <w:sz w:val="20"/>
                <w:szCs w:val="20"/>
              </w:rPr>
            </w:pPr>
            <w:r>
              <w:rPr>
                <w:rFonts w:asciiTheme="minorHAnsi" w:hAnsiTheme="minorHAnsi" w:cstheme="minorHAnsi"/>
                <w:b/>
                <w:bCs/>
                <w:sz w:val="20"/>
                <w:szCs w:val="20"/>
              </w:rPr>
              <w:t>Project Objectives:</w:t>
            </w:r>
          </w:p>
          <w:p w:rsidR="00BB03D2" w:rsidRDefault="004F4B70" w14:paraId="75561353" w14:textId="77777777">
            <w:pPr>
              <w:pStyle w:val="Paragraphedeliste1"/>
              <w:numPr>
                <w:ilvl w:val="0"/>
                <w:numId w:val="11"/>
              </w:numPr>
              <w:spacing w:line="240" w:lineRule="auto"/>
              <w:rPr>
                <w:rFonts w:asciiTheme="minorHAnsi" w:hAnsiTheme="minorHAnsi" w:cstheme="minorHAnsi"/>
                <w:sz w:val="20"/>
                <w:szCs w:val="20"/>
                <w:u w:val="single"/>
                <w:lang w:val="fr-FR"/>
              </w:rPr>
            </w:pPr>
            <w:r>
              <w:rPr>
                <w:rFonts w:asciiTheme="minorHAnsi" w:hAnsiTheme="minorHAnsi" w:cstheme="minorHAnsi"/>
                <w:bCs/>
                <w:sz w:val="20"/>
                <w:szCs w:val="20"/>
                <w:lang w:val="fr-FR"/>
              </w:rPr>
              <w:t>Alignement avec la théorie du changement du FMPH, en particulier en ce qui concerne un résultat spécifique dans le cadre de résultats (domaine d’impact 1)</w:t>
            </w:r>
          </w:p>
          <w:p w:rsidR="00BB03D2" w:rsidRDefault="004F4B70" w14:paraId="02303CE9" w14:textId="77777777">
            <w:pPr>
              <w:pStyle w:val="Paragraphedeliste1"/>
              <w:numPr>
                <w:ilvl w:val="0"/>
                <w:numId w:val="11"/>
              </w:numPr>
              <w:spacing w:line="240" w:lineRule="auto"/>
              <w:rPr>
                <w:rFonts w:asciiTheme="minorHAnsi" w:hAnsiTheme="minorHAnsi" w:cstheme="minorHAnsi"/>
                <w:sz w:val="20"/>
                <w:szCs w:val="20"/>
                <w:u w:val="single"/>
                <w:lang w:val="fr-FR"/>
              </w:rPr>
            </w:pPr>
            <w:r>
              <w:rPr>
                <w:rFonts w:asciiTheme="minorHAnsi" w:hAnsiTheme="minorHAnsi" w:cstheme="minorHAnsi"/>
                <w:bCs/>
                <w:sz w:val="20"/>
                <w:szCs w:val="20"/>
                <w:lang w:val="fr-FR"/>
              </w:rPr>
              <w:t>Articulation claire de l'expérience de l'organisation et de la justification de la manière dont la crise actuelle affecte leurs capacités institutionnelles et financières</w:t>
            </w:r>
          </w:p>
          <w:p w:rsidR="00BB03D2" w:rsidRDefault="004F4B70" w14:paraId="0F9D5D89" w14:textId="77777777">
            <w:pPr>
              <w:pStyle w:val="Paragraphedeliste1"/>
              <w:numPr>
                <w:ilvl w:val="0"/>
                <w:numId w:val="11"/>
              </w:numPr>
              <w:spacing w:line="240" w:lineRule="auto"/>
              <w:rPr>
                <w:rFonts w:asciiTheme="minorHAnsi" w:hAnsiTheme="minorHAnsi" w:cstheme="minorHAnsi"/>
                <w:sz w:val="20"/>
                <w:szCs w:val="20"/>
                <w:u w:val="single"/>
                <w:lang w:val="fr-FR"/>
              </w:rPr>
            </w:pPr>
            <w:r>
              <w:rPr>
                <w:rFonts w:asciiTheme="minorHAnsi" w:hAnsiTheme="minorHAnsi" w:cstheme="minorHAnsi"/>
                <w:bCs/>
                <w:sz w:val="20"/>
                <w:szCs w:val="20"/>
                <w:lang w:val="fr-FR"/>
              </w:rPr>
              <w:t>Définition d'objectifs clairs et des résultats et produits attendus axés sur le renforcement des capacités institutionnelles des OSC et sur la manière dont l'organisation sera soutenue</w:t>
            </w:r>
          </w:p>
          <w:p w:rsidR="00BB03D2" w:rsidRDefault="004F4B70" w14:paraId="231A0EAA" w14:textId="77777777">
            <w:pPr>
              <w:pStyle w:val="Paragraphedeliste1"/>
              <w:numPr>
                <w:ilvl w:val="0"/>
                <w:numId w:val="11"/>
              </w:numPr>
              <w:spacing w:line="240" w:lineRule="auto"/>
              <w:rPr>
                <w:rFonts w:asciiTheme="minorHAnsi" w:hAnsiTheme="minorHAnsi" w:cstheme="minorHAnsi"/>
                <w:sz w:val="20"/>
                <w:szCs w:val="20"/>
                <w:u w:val="single"/>
                <w:lang w:val="fr-FR"/>
              </w:rPr>
            </w:pPr>
            <w:r>
              <w:rPr>
                <w:rFonts w:asciiTheme="minorHAnsi" w:hAnsiTheme="minorHAnsi" w:cstheme="minorHAnsi"/>
                <w:bCs/>
                <w:sz w:val="20"/>
                <w:szCs w:val="20"/>
                <w:lang w:val="fr-FR"/>
              </w:rPr>
              <w:lastRenderedPageBreak/>
              <w:t>Identification des risques et mesures d'atténuation appropriées</w:t>
            </w:r>
          </w:p>
        </w:tc>
        <w:tc>
          <w:tcPr>
            <w:tcW w:w="4956" w:type="dxa"/>
          </w:tcPr>
          <w:p w:rsidR="00BB03D2" w:rsidRDefault="004F4B70" w14:paraId="39B15B96" w14:textId="77777777">
            <w:pPr>
              <w:rPr>
                <w:rFonts w:asciiTheme="minorHAnsi" w:hAnsiTheme="minorHAnsi" w:cstheme="minorHAnsi"/>
                <w:b/>
                <w:bCs/>
                <w:sz w:val="20"/>
                <w:szCs w:val="20"/>
              </w:rPr>
            </w:pPr>
            <w:proofErr w:type="spellStart"/>
            <w:r>
              <w:rPr>
                <w:rFonts w:asciiTheme="minorHAnsi" w:hAnsiTheme="minorHAnsi" w:cstheme="minorHAnsi"/>
                <w:b/>
                <w:bCs/>
                <w:sz w:val="20"/>
                <w:szCs w:val="20"/>
              </w:rPr>
              <w:lastRenderedPageBreak/>
              <w:t>Objectifs</w:t>
            </w:r>
            <w:proofErr w:type="spellEnd"/>
            <w:r>
              <w:rPr>
                <w:rFonts w:asciiTheme="minorHAnsi" w:hAnsiTheme="minorHAnsi" w:cstheme="minorHAnsi"/>
                <w:b/>
                <w:bCs/>
                <w:sz w:val="20"/>
                <w:szCs w:val="20"/>
              </w:rPr>
              <w:t xml:space="preserve"> du </w:t>
            </w:r>
            <w:proofErr w:type="spellStart"/>
            <w:r>
              <w:rPr>
                <w:rFonts w:asciiTheme="minorHAnsi" w:hAnsiTheme="minorHAnsi" w:cstheme="minorHAnsi"/>
                <w:b/>
                <w:bCs/>
                <w:sz w:val="20"/>
                <w:szCs w:val="20"/>
              </w:rPr>
              <w:t>projet</w:t>
            </w:r>
            <w:proofErr w:type="spellEnd"/>
          </w:p>
          <w:p w:rsidR="00BB03D2" w:rsidRDefault="004F4B70" w14:paraId="64135C70" w14:textId="77777777">
            <w:pPr>
              <w:pStyle w:val="Paragraphedeliste1"/>
              <w:numPr>
                <w:ilvl w:val="0"/>
                <w:numId w:val="12"/>
              </w:numPr>
              <w:spacing w:after="0" w:line="240" w:lineRule="auto"/>
              <w:rPr>
                <w:rFonts w:asciiTheme="minorHAnsi" w:hAnsiTheme="minorHAnsi" w:cstheme="minorHAnsi"/>
                <w:sz w:val="20"/>
                <w:szCs w:val="20"/>
                <w:lang w:val="fr-FR"/>
              </w:rPr>
            </w:pPr>
            <w:r>
              <w:rPr>
                <w:rFonts w:asciiTheme="minorHAnsi" w:hAnsiTheme="minorHAnsi" w:cstheme="minorHAnsi"/>
                <w:sz w:val="20"/>
                <w:szCs w:val="20"/>
                <w:lang w:val="fr-FR"/>
              </w:rPr>
              <w:t>Alignement avec la théorie de changement du WPHF, notamment en ce qui concerne un impact spécifique dans son cadre de résultats.</w:t>
            </w:r>
          </w:p>
          <w:p w:rsidRPr="00644225" w:rsidR="00BB03D2" w:rsidRDefault="004F4B70" w14:paraId="55CE1173" w14:textId="77777777">
            <w:pPr>
              <w:pStyle w:val="Header"/>
              <w:numPr>
                <w:ilvl w:val="0"/>
                <w:numId w:val="12"/>
              </w:numPr>
              <w:rPr>
                <w:rFonts w:asciiTheme="minorHAnsi" w:hAnsiTheme="minorHAnsi" w:cstheme="minorHAnsi"/>
                <w:sz w:val="20"/>
                <w:szCs w:val="20"/>
                <w:lang w:val="fr-FR"/>
              </w:rPr>
            </w:pPr>
            <w:r w:rsidRPr="00644225">
              <w:rPr>
                <w:rFonts w:asciiTheme="minorHAnsi" w:hAnsiTheme="minorHAnsi" w:cstheme="minorHAnsi"/>
                <w:sz w:val="20"/>
                <w:szCs w:val="20"/>
                <w:lang w:val="fr-FR"/>
              </w:rPr>
              <w:t>Définition d'objectifs, de résultats et de produits clairs, en tenant compte des meilleures pratiques des approches sensibles au genre.</w:t>
            </w:r>
          </w:p>
          <w:p w:rsidR="00BB03D2" w:rsidRDefault="004F4B70" w14:paraId="5D803DAB" w14:textId="77777777">
            <w:pPr>
              <w:pStyle w:val="Paragraphedeliste1"/>
              <w:numPr>
                <w:ilvl w:val="0"/>
                <w:numId w:val="12"/>
              </w:numPr>
              <w:spacing w:after="0" w:line="240" w:lineRule="auto"/>
              <w:rPr>
                <w:rFonts w:asciiTheme="minorHAnsi" w:hAnsiTheme="minorHAnsi" w:cstheme="minorHAnsi"/>
                <w:sz w:val="20"/>
                <w:szCs w:val="20"/>
                <w:lang w:val="fr-FR" w:eastAsia="en-GB"/>
              </w:rPr>
            </w:pPr>
            <w:r>
              <w:rPr>
                <w:rFonts w:asciiTheme="minorHAnsi" w:hAnsiTheme="minorHAnsi" w:cstheme="minorHAnsi"/>
                <w:sz w:val="20"/>
                <w:szCs w:val="20"/>
                <w:lang w:val="fr-FR" w:eastAsia="en-GB"/>
              </w:rPr>
              <w:t xml:space="preserve">Participation significative de groupes confrontés à diverses formes corrélées de discrimination, comme les personnes marginalisées et exclues en raison, entre autres, de leur pauvreté, de leur origine ethnique, de leur handicap, de leur âge, de leur origine, de leur statut migratoire, de leur séropositivité ; ce qui est clairement en accord avec </w:t>
            </w:r>
            <w:r>
              <w:rPr>
                <w:rFonts w:asciiTheme="minorHAnsi" w:hAnsiTheme="minorHAnsi" w:cstheme="minorHAnsi"/>
                <w:sz w:val="20"/>
                <w:szCs w:val="20"/>
                <w:lang w:val="fr-FR" w:eastAsia="en-GB"/>
              </w:rPr>
              <w:lastRenderedPageBreak/>
              <w:t>l'Agenda 2030 et le principe de ne laisser personne pour compte</w:t>
            </w:r>
          </w:p>
          <w:p w:rsidR="00BB03D2" w:rsidRDefault="004F4B70" w14:paraId="1BCAC19C" w14:textId="77777777">
            <w:pPr>
              <w:pStyle w:val="Paragraphedeliste1"/>
              <w:numPr>
                <w:ilvl w:val="0"/>
                <w:numId w:val="12"/>
              </w:numPr>
              <w:spacing w:after="0" w:line="240" w:lineRule="auto"/>
              <w:rPr>
                <w:rFonts w:asciiTheme="minorHAnsi" w:hAnsiTheme="minorHAnsi" w:cstheme="minorHAnsi"/>
                <w:sz w:val="20"/>
                <w:szCs w:val="20"/>
                <w:lang w:val="fr-FR"/>
              </w:rPr>
            </w:pPr>
            <w:r>
              <w:rPr>
                <w:rFonts w:asciiTheme="minorHAnsi" w:hAnsiTheme="minorHAnsi" w:cstheme="minorHAnsi"/>
                <w:sz w:val="20"/>
                <w:szCs w:val="20"/>
                <w:lang w:val="fr-FR"/>
              </w:rPr>
              <w:t>Partenariat et renforcement des capacités des organisations féminines locales et/ou</w:t>
            </w:r>
            <w:r>
              <w:rPr>
                <w:sz w:val="20"/>
                <w:szCs w:val="20"/>
                <w:lang w:val="fr-FR"/>
              </w:rPr>
              <w:t xml:space="preserve"> </w:t>
            </w:r>
            <w:r>
              <w:rPr>
                <w:rFonts w:asciiTheme="minorHAnsi" w:hAnsiTheme="minorHAnsi" w:cstheme="minorHAnsi"/>
                <w:sz w:val="20"/>
                <w:szCs w:val="20"/>
                <w:lang w:val="fr-FR"/>
              </w:rPr>
              <w:t>la mise en place d’un plan clair de renforcement des capacités pour les OSC partenaires. Les projets communs sont fortement encouragés.</w:t>
            </w:r>
          </w:p>
          <w:p w:rsidR="00BB03D2" w:rsidRDefault="004F4B70" w14:paraId="4C723425" w14:textId="77777777">
            <w:pPr>
              <w:numPr>
                <w:ilvl w:val="0"/>
                <w:numId w:val="12"/>
              </w:numPr>
              <w:rPr>
                <w:rFonts w:asciiTheme="minorHAnsi" w:hAnsiTheme="minorHAnsi" w:cstheme="minorHAnsi"/>
                <w:sz w:val="20"/>
                <w:szCs w:val="20"/>
                <w:lang w:val="fr-CH"/>
              </w:rPr>
            </w:pPr>
            <w:r w:rsidRPr="00644225">
              <w:rPr>
                <w:rFonts w:asciiTheme="minorHAnsi" w:hAnsiTheme="minorHAnsi" w:cstheme="minorHAnsi"/>
                <w:sz w:val="20"/>
                <w:szCs w:val="20"/>
                <w:lang w:val="fr-FR"/>
              </w:rPr>
              <w:t>Complémentarité avec d'autres fonds et programmes.</w:t>
            </w:r>
          </w:p>
        </w:tc>
      </w:tr>
      <w:tr w:rsidR="00BB03D2" w14:paraId="14B66DAC" w14:textId="77777777">
        <w:tc>
          <w:tcPr>
            <w:tcW w:w="4106" w:type="dxa"/>
            <w:vMerge w:val="restart"/>
          </w:tcPr>
          <w:p w:rsidR="00BB03D2" w:rsidRDefault="004F4B70" w14:paraId="4E20BD56" w14:textId="77777777">
            <w:pPr>
              <w:rPr>
                <w:rFonts w:ascii="Calibri" w:hAnsi="Calibri" w:cs="Calibri"/>
                <w:b/>
                <w:bCs/>
                <w:sz w:val="20"/>
                <w:szCs w:val="20"/>
              </w:rPr>
            </w:pPr>
            <w:r>
              <w:rPr>
                <w:rFonts w:ascii="Calibri" w:hAnsi="Calibri" w:cs="Calibri"/>
                <w:b/>
                <w:bCs/>
                <w:sz w:val="20"/>
                <w:szCs w:val="20"/>
              </w:rPr>
              <w:lastRenderedPageBreak/>
              <w:t>Budget</w:t>
            </w:r>
          </w:p>
          <w:p w:rsidR="00BB03D2" w:rsidRDefault="004F4B70" w14:paraId="590C6974" w14:textId="77777777">
            <w:pPr>
              <w:pStyle w:val="Paragraphedeliste1"/>
              <w:numPr>
                <w:ilvl w:val="0"/>
                <w:numId w:val="13"/>
              </w:numPr>
              <w:spacing w:line="240" w:lineRule="auto"/>
              <w:rPr>
                <w:rFonts w:asciiTheme="minorHAnsi" w:hAnsiTheme="minorHAnsi" w:cstheme="minorHAnsi"/>
                <w:sz w:val="20"/>
                <w:szCs w:val="20"/>
                <w:u w:val="single"/>
                <w:lang w:val="fr-FR"/>
              </w:rPr>
            </w:pPr>
            <w:r>
              <w:rPr>
                <w:rFonts w:asciiTheme="minorHAnsi" w:hAnsiTheme="minorHAnsi" w:cstheme="minorHAnsi"/>
                <w:sz w:val="20"/>
                <w:szCs w:val="20"/>
                <w:lang w:val="fr-FR"/>
              </w:rPr>
              <w:t>Le budget est cohérent dans tous les documents et détaillé par produit dans le cadre de résultats</w:t>
            </w:r>
          </w:p>
          <w:p w:rsidR="00BB03D2" w:rsidRDefault="004F4B70" w14:paraId="4C365F7B" w14:textId="77777777">
            <w:pPr>
              <w:pStyle w:val="Paragraphedeliste1"/>
              <w:numPr>
                <w:ilvl w:val="0"/>
                <w:numId w:val="13"/>
              </w:numPr>
              <w:spacing w:line="240" w:lineRule="auto"/>
              <w:rPr>
                <w:rFonts w:asciiTheme="minorHAnsi" w:hAnsiTheme="minorHAnsi" w:cstheme="minorHAnsi"/>
                <w:sz w:val="20"/>
                <w:szCs w:val="20"/>
                <w:u w:val="single"/>
                <w:lang w:val="fr-FR"/>
              </w:rPr>
            </w:pPr>
            <w:r>
              <w:rPr>
                <w:rFonts w:asciiTheme="minorHAnsi" w:hAnsiTheme="minorHAnsi" w:cstheme="minorHAnsi"/>
                <w:sz w:val="20"/>
                <w:szCs w:val="20"/>
                <w:lang w:val="fr-FR"/>
              </w:rPr>
              <w:t>Le budget comprend les coûts opérationnels indirects au niveau autorisé (pas plus de 7%)</w:t>
            </w:r>
          </w:p>
          <w:p w:rsidR="00BB03D2" w:rsidRDefault="004F4B70" w14:paraId="5CF9D171" w14:textId="77777777">
            <w:pPr>
              <w:pStyle w:val="Paragraphedeliste1"/>
              <w:numPr>
                <w:ilvl w:val="0"/>
                <w:numId w:val="13"/>
              </w:numPr>
              <w:spacing w:line="240" w:lineRule="auto"/>
              <w:rPr>
                <w:rFonts w:asciiTheme="minorHAnsi" w:hAnsiTheme="minorHAnsi" w:cstheme="minorHAnsi"/>
                <w:sz w:val="20"/>
                <w:szCs w:val="20"/>
                <w:u w:val="single"/>
                <w:lang w:val="fr-FR"/>
              </w:rPr>
            </w:pPr>
            <w:r>
              <w:rPr>
                <w:rFonts w:asciiTheme="minorHAnsi" w:hAnsiTheme="minorHAnsi" w:cstheme="minorHAnsi"/>
                <w:sz w:val="20"/>
                <w:szCs w:val="20"/>
                <w:lang w:val="fr-FR"/>
              </w:rPr>
              <w:t>Le budget est suffisant et raisonnable pour les activités proposées et tient compte de l'ampleur des problèmes</w:t>
            </w:r>
          </w:p>
        </w:tc>
        <w:tc>
          <w:tcPr>
            <w:tcW w:w="4956" w:type="dxa"/>
          </w:tcPr>
          <w:p w:rsidR="00BB03D2" w:rsidRDefault="004F4B70" w14:paraId="76E4BB22" w14:textId="77777777">
            <w:pPr>
              <w:contextualSpacing/>
              <w:rPr>
                <w:rFonts w:ascii="Calibri" w:hAnsi="Calibri" w:cs="Calibri"/>
                <w:b/>
                <w:bCs/>
                <w:sz w:val="20"/>
                <w:szCs w:val="20"/>
              </w:rPr>
            </w:pPr>
            <w:r>
              <w:rPr>
                <w:rFonts w:ascii="Calibri" w:hAnsi="Calibri" w:cs="Calibri"/>
                <w:b/>
                <w:bCs/>
                <w:sz w:val="20"/>
                <w:szCs w:val="20"/>
              </w:rPr>
              <w:t xml:space="preserve">Gestion et </w:t>
            </w:r>
            <w:proofErr w:type="spellStart"/>
            <w:r>
              <w:rPr>
                <w:rFonts w:ascii="Calibri" w:hAnsi="Calibri" w:cs="Calibri"/>
                <w:b/>
                <w:bCs/>
                <w:sz w:val="20"/>
                <w:szCs w:val="20"/>
              </w:rPr>
              <w:t>suivi</w:t>
            </w:r>
            <w:proofErr w:type="spellEnd"/>
            <w:r>
              <w:rPr>
                <w:rFonts w:ascii="Calibri" w:hAnsi="Calibri" w:cs="Calibri"/>
                <w:b/>
                <w:bCs/>
                <w:sz w:val="20"/>
                <w:szCs w:val="20"/>
              </w:rPr>
              <w:t xml:space="preserve"> du </w:t>
            </w:r>
            <w:proofErr w:type="spellStart"/>
            <w:r>
              <w:rPr>
                <w:rFonts w:ascii="Calibri" w:hAnsi="Calibri" w:cs="Calibri"/>
                <w:b/>
                <w:bCs/>
                <w:sz w:val="20"/>
                <w:szCs w:val="20"/>
              </w:rPr>
              <w:t>programme</w:t>
            </w:r>
            <w:proofErr w:type="spellEnd"/>
            <w:r>
              <w:rPr>
                <w:rFonts w:ascii="Calibri" w:hAnsi="Calibri" w:cs="Calibri"/>
                <w:b/>
                <w:bCs/>
                <w:sz w:val="20"/>
                <w:szCs w:val="20"/>
              </w:rPr>
              <w:t xml:space="preserve"> </w:t>
            </w:r>
          </w:p>
          <w:p w:rsidRPr="00644225" w:rsidR="00BB03D2" w:rsidRDefault="004F4B70" w14:paraId="3FEBF473" w14:textId="77777777">
            <w:pPr>
              <w:pStyle w:val="Header"/>
              <w:numPr>
                <w:ilvl w:val="0"/>
                <w:numId w:val="14"/>
              </w:numPr>
              <w:rPr>
                <w:rFonts w:ascii="Calibri" w:hAnsi="Calibri" w:cs="Calibri"/>
                <w:sz w:val="20"/>
                <w:szCs w:val="20"/>
                <w:lang w:val="fr-FR"/>
              </w:rPr>
            </w:pPr>
            <w:r w:rsidRPr="00644225">
              <w:rPr>
                <w:rFonts w:ascii="Calibri" w:hAnsi="Calibri" w:cs="Calibri"/>
                <w:sz w:val="20"/>
                <w:szCs w:val="20"/>
                <w:lang w:val="fr-FR"/>
              </w:rPr>
              <w:t>Identification des risques et des mesures d'atténuation adéquates sont présentées</w:t>
            </w:r>
          </w:p>
          <w:p w:rsidRPr="00644225" w:rsidR="00BB03D2" w:rsidRDefault="004F4B70" w14:paraId="5A0DA53C" w14:textId="77777777">
            <w:pPr>
              <w:pStyle w:val="Header"/>
              <w:numPr>
                <w:ilvl w:val="0"/>
                <w:numId w:val="14"/>
              </w:numPr>
              <w:rPr>
                <w:rFonts w:ascii="Calibri" w:hAnsi="Calibri" w:cs="Calibri"/>
                <w:sz w:val="20"/>
                <w:szCs w:val="20"/>
                <w:lang w:val="fr-FR" w:eastAsia="en-GB"/>
              </w:rPr>
            </w:pPr>
            <w:r w:rsidRPr="00644225">
              <w:rPr>
                <w:rFonts w:ascii="Calibri" w:hAnsi="Calibri" w:cs="Calibri"/>
                <w:sz w:val="20"/>
                <w:szCs w:val="20"/>
                <w:lang w:val="fr-FR" w:eastAsia="en-GB"/>
              </w:rPr>
              <w:t xml:space="preserve">Calendrier d'activités et stratégie de mise en œuvre réalistes pour atteindre les objectifs dans les délais. </w:t>
            </w:r>
          </w:p>
          <w:p w:rsidR="00BB03D2" w:rsidRDefault="004F4B70" w14:paraId="5888D73F" w14:textId="77777777">
            <w:pPr>
              <w:numPr>
                <w:ilvl w:val="0"/>
                <w:numId w:val="14"/>
              </w:numPr>
              <w:rPr>
                <w:rFonts w:ascii="Calibri" w:hAnsi="Calibri" w:cs="Calibri"/>
                <w:bCs/>
                <w:sz w:val="20"/>
                <w:szCs w:val="20"/>
                <w:lang w:val="fr-CH"/>
              </w:rPr>
            </w:pPr>
            <w:r w:rsidRPr="00644225">
              <w:rPr>
                <w:rFonts w:ascii="Calibri" w:hAnsi="Calibri" w:cs="Calibri"/>
                <w:sz w:val="20"/>
                <w:szCs w:val="20"/>
                <w:lang w:val="fr-FR" w:eastAsia="en-GB"/>
              </w:rPr>
              <w:t>Identification d'un plan de suivi et d'évaluation et accompagné de méthodologies claires et appropriées sur la base du cadre de résultats et des indicateurs.</w:t>
            </w:r>
          </w:p>
        </w:tc>
      </w:tr>
      <w:tr w:rsidR="00BB03D2" w14:paraId="55B62E06" w14:textId="77777777">
        <w:tc>
          <w:tcPr>
            <w:tcW w:w="4106" w:type="dxa"/>
            <w:vMerge/>
          </w:tcPr>
          <w:p w:rsidR="00BB03D2" w:rsidRDefault="00BB03D2" w14:paraId="359A1489" w14:textId="77777777">
            <w:pPr>
              <w:rPr>
                <w:rFonts w:ascii="Calibri" w:hAnsi="Calibri" w:cs="Calibri"/>
                <w:sz w:val="20"/>
                <w:szCs w:val="20"/>
                <w:lang w:val="fr-CH"/>
              </w:rPr>
            </w:pPr>
          </w:p>
        </w:tc>
        <w:tc>
          <w:tcPr>
            <w:tcW w:w="4956" w:type="dxa"/>
          </w:tcPr>
          <w:p w:rsidR="00BB03D2" w:rsidRDefault="004F4B70" w14:paraId="73129652" w14:textId="77777777">
            <w:pPr>
              <w:contextualSpacing/>
              <w:rPr>
                <w:rFonts w:ascii="Calibri" w:hAnsi="Calibri" w:cs="Calibri"/>
                <w:sz w:val="20"/>
                <w:szCs w:val="20"/>
                <w:u w:val="single"/>
              </w:rPr>
            </w:pPr>
            <w:proofErr w:type="spellStart"/>
            <w:r>
              <w:rPr>
                <w:rFonts w:ascii="Calibri" w:hAnsi="Calibri" w:cs="Calibri"/>
                <w:b/>
                <w:bCs/>
                <w:sz w:val="20"/>
                <w:szCs w:val="20"/>
              </w:rPr>
              <w:t>Pérennisation</w:t>
            </w:r>
            <w:proofErr w:type="spellEnd"/>
            <w:r>
              <w:rPr>
                <w:rFonts w:ascii="Calibri" w:hAnsi="Calibri" w:cs="Calibri"/>
                <w:b/>
                <w:bCs/>
                <w:sz w:val="20"/>
                <w:szCs w:val="20"/>
              </w:rPr>
              <w:t xml:space="preserve"> et appropriation </w:t>
            </w:r>
            <w:proofErr w:type="spellStart"/>
            <w:proofErr w:type="gramStart"/>
            <w:r>
              <w:rPr>
                <w:rFonts w:ascii="Calibri" w:hAnsi="Calibri" w:cs="Calibri"/>
                <w:b/>
                <w:bCs/>
                <w:sz w:val="20"/>
                <w:szCs w:val="20"/>
              </w:rPr>
              <w:t>nationale</w:t>
            </w:r>
            <w:proofErr w:type="spellEnd"/>
            <w:r>
              <w:rPr>
                <w:rFonts w:ascii="Calibri" w:hAnsi="Calibri" w:cs="Calibri"/>
                <w:sz w:val="20"/>
                <w:szCs w:val="20"/>
              </w:rPr>
              <w:t xml:space="preserve"> :</w:t>
            </w:r>
            <w:proofErr w:type="gramEnd"/>
          </w:p>
          <w:p w:rsidRPr="00644225" w:rsidR="00BB03D2" w:rsidRDefault="004F4B70" w14:paraId="2B1DBDBA" w14:textId="77777777">
            <w:pPr>
              <w:numPr>
                <w:ilvl w:val="0"/>
                <w:numId w:val="15"/>
              </w:numPr>
              <w:rPr>
                <w:rFonts w:ascii="Calibri" w:hAnsi="Calibri" w:cs="Calibri"/>
                <w:b/>
                <w:sz w:val="20"/>
                <w:szCs w:val="20"/>
                <w:lang w:val="fr-FR"/>
              </w:rPr>
            </w:pPr>
            <w:r w:rsidRPr="00644225">
              <w:rPr>
                <w:rFonts w:ascii="Calibri" w:hAnsi="Calibri" w:cs="Calibri"/>
                <w:sz w:val="20"/>
                <w:szCs w:val="20"/>
                <w:lang w:val="fr-FR"/>
              </w:rPr>
              <w:t>Promotion pour l'appropriation nationale et locale à travers le développement et la mise en œuvre d’activités et d’objectifs spécifiques visant au renforcement des capacités des acteurs nationaux et locaux ;</w:t>
            </w:r>
          </w:p>
          <w:p w:rsidR="00BB03D2" w:rsidRDefault="004F4B70" w14:paraId="2F045ED0" w14:textId="77777777">
            <w:pPr>
              <w:numPr>
                <w:ilvl w:val="0"/>
                <w:numId w:val="15"/>
              </w:numPr>
              <w:rPr>
                <w:rFonts w:ascii="Calibri" w:hAnsi="Calibri" w:cs="Calibri"/>
                <w:sz w:val="20"/>
                <w:szCs w:val="20"/>
                <w:lang w:val="fr-CH"/>
              </w:rPr>
            </w:pPr>
            <w:r w:rsidRPr="00644225">
              <w:rPr>
                <w:rFonts w:ascii="Calibri" w:hAnsi="Calibri" w:cs="Calibri"/>
                <w:sz w:val="20"/>
                <w:szCs w:val="20"/>
                <w:lang w:val="fr-FR"/>
              </w:rPr>
              <w:t>Pérennisation du programme au-delà de la période de contribution et (si pertinent) réflexion sur la façon de le reproduire et de l’améliorer dans le temps.</w:t>
            </w:r>
          </w:p>
        </w:tc>
      </w:tr>
      <w:tr w:rsidR="00BB03D2" w14:paraId="023A3AB7" w14:textId="77777777">
        <w:tc>
          <w:tcPr>
            <w:tcW w:w="4106" w:type="dxa"/>
            <w:vMerge/>
          </w:tcPr>
          <w:p w:rsidR="00BB03D2" w:rsidRDefault="00BB03D2" w14:paraId="49107B90" w14:textId="77777777">
            <w:pPr>
              <w:rPr>
                <w:rFonts w:ascii="Calibri" w:hAnsi="Calibri" w:cs="Calibri"/>
                <w:sz w:val="20"/>
                <w:szCs w:val="20"/>
                <w:lang w:val="fr-CH"/>
              </w:rPr>
            </w:pPr>
          </w:p>
        </w:tc>
        <w:tc>
          <w:tcPr>
            <w:tcW w:w="4956" w:type="dxa"/>
          </w:tcPr>
          <w:p w:rsidR="00BB03D2" w:rsidRDefault="004F4B70" w14:paraId="186125EC" w14:textId="77777777">
            <w:pPr>
              <w:rPr>
                <w:rFonts w:ascii="Calibri" w:hAnsi="Calibri" w:cs="Calibri"/>
                <w:b/>
                <w:bCs/>
                <w:sz w:val="20"/>
                <w:szCs w:val="20"/>
              </w:rPr>
            </w:pPr>
            <w:r>
              <w:rPr>
                <w:rFonts w:ascii="Calibri" w:hAnsi="Calibri" w:cs="Calibri"/>
                <w:b/>
                <w:bCs/>
                <w:sz w:val="20"/>
                <w:szCs w:val="20"/>
              </w:rPr>
              <w:t>Budget</w:t>
            </w:r>
          </w:p>
          <w:p w:rsidR="00BB03D2" w:rsidRDefault="004F4B70" w14:paraId="61F883B5" w14:textId="77777777">
            <w:pPr>
              <w:pStyle w:val="Paragraphedeliste1"/>
              <w:numPr>
                <w:ilvl w:val="0"/>
                <w:numId w:val="13"/>
              </w:numPr>
              <w:spacing w:line="240" w:lineRule="auto"/>
              <w:rPr>
                <w:rFonts w:ascii="Calibri" w:hAnsi="Calibri" w:cs="Calibri"/>
                <w:sz w:val="20"/>
                <w:szCs w:val="20"/>
                <w:lang w:val="fr-FR"/>
              </w:rPr>
            </w:pPr>
            <w:r>
              <w:rPr>
                <w:rFonts w:ascii="Calibri" w:hAnsi="Calibri" w:cs="Calibri"/>
                <w:sz w:val="20"/>
                <w:szCs w:val="20"/>
                <w:lang w:val="fr-FR"/>
              </w:rPr>
              <w:t>Le budget est cohérent dans tous les documents et détaillé par produit dans le cadre de résultats.</w:t>
            </w:r>
          </w:p>
          <w:p w:rsidR="00BB03D2" w:rsidRDefault="004F4B70" w14:paraId="15E1A0B5" w14:textId="77777777">
            <w:pPr>
              <w:pStyle w:val="Paragraphedeliste1"/>
              <w:numPr>
                <w:ilvl w:val="0"/>
                <w:numId w:val="13"/>
              </w:numPr>
              <w:spacing w:line="240" w:lineRule="auto"/>
              <w:rPr>
                <w:rFonts w:ascii="Calibri" w:hAnsi="Calibri" w:cs="Calibri"/>
                <w:sz w:val="20"/>
                <w:szCs w:val="20"/>
                <w:lang w:val="fr-FR"/>
              </w:rPr>
            </w:pPr>
            <w:r>
              <w:rPr>
                <w:rFonts w:ascii="Calibri" w:hAnsi="Calibri" w:cs="Calibri"/>
                <w:sz w:val="20"/>
                <w:szCs w:val="20"/>
                <w:lang w:val="fr-CH"/>
              </w:rPr>
              <w:t>Le budget est suffisant et raisonnable pour les activités proposées et tient compte de l'ampleur des problèmes.</w:t>
            </w:r>
          </w:p>
          <w:p w:rsidR="00BB03D2" w:rsidRDefault="004F4B70" w14:paraId="0BDEED17" w14:textId="77777777">
            <w:pPr>
              <w:pStyle w:val="Paragraphedeliste1"/>
              <w:numPr>
                <w:ilvl w:val="0"/>
                <w:numId w:val="13"/>
              </w:numPr>
              <w:spacing w:line="240" w:lineRule="auto"/>
              <w:rPr>
                <w:rFonts w:ascii="Calibri" w:hAnsi="Calibri" w:cs="Calibri"/>
                <w:sz w:val="20"/>
                <w:szCs w:val="20"/>
                <w:lang w:val="fr-FR"/>
              </w:rPr>
            </w:pPr>
            <w:r>
              <w:rPr>
                <w:rFonts w:ascii="Calibri" w:hAnsi="Calibri" w:cs="Calibri"/>
                <w:sz w:val="20"/>
                <w:szCs w:val="20"/>
                <w:lang w:val="fr-CH"/>
              </w:rPr>
              <w:t>Le budget comprend les coûts opérationnels indirects au niveau autorisé (pas plus de 7%).</w:t>
            </w:r>
          </w:p>
        </w:tc>
      </w:tr>
    </w:tbl>
    <w:p w:rsidR="00BB03D2" w:rsidRDefault="00BB03D2" w14:paraId="0EEB2A2B" w14:textId="77777777">
      <w:pPr>
        <w:rPr>
          <w:rFonts w:asciiTheme="minorHAnsi" w:hAnsiTheme="minorHAnsi" w:cstheme="minorHAnsi"/>
          <w:sz w:val="22"/>
          <w:szCs w:val="22"/>
        </w:rPr>
      </w:pPr>
    </w:p>
    <w:p w:rsidR="00BB03D2" w:rsidRDefault="00BB03D2" w14:paraId="6EBD6320" w14:textId="77777777">
      <w:pPr>
        <w:pStyle w:val="Title"/>
        <w:contextualSpacing/>
        <w:jc w:val="left"/>
        <w:rPr>
          <w:rFonts w:asciiTheme="minorHAnsi" w:hAnsiTheme="minorHAnsi" w:cstheme="minorHAnsi"/>
          <w:b w:val="0"/>
          <w:sz w:val="22"/>
          <w:szCs w:val="22"/>
          <w:lang w:val="fr-FR"/>
        </w:rPr>
      </w:pPr>
    </w:p>
    <w:p w:rsidR="00BB03D2" w:rsidRDefault="004F4B70" w14:paraId="7290B99C" w14:textId="77777777">
      <w:pPr>
        <w:rPr>
          <w:rFonts w:asciiTheme="minorHAnsi" w:hAnsiTheme="minorHAnsi" w:eastAsiaTheme="minorHAnsi" w:cstheme="minorBidi"/>
          <w:b/>
          <w:bCs/>
          <w:color w:val="009FE4"/>
          <w:lang w:eastAsia="en-US"/>
        </w:rPr>
      </w:pPr>
      <w:r>
        <w:rPr>
          <w:rFonts w:asciiTheme="minorHAnsi" w:hAnsiTheme="minorHAnsi" w:eastAsiaTheme="minorHAnsi" w:cstheme="minorBidi"/>
          <w:b/>
          <w:bCs/>
          <w:color w:val="009FE4"/>
          <w:lang w:eastAsia="en-US"/>
        </w:rPr>
        <w:t>9.     Ressources utiles</w:t>
      </w:r>
    </w:p>
    <w:p w:rsidR="00BB03D2" w:rsidRDefault="004F4B70" w14:paraId="352D8098" w14:textId="77777777">
      <w:pPr>
        <w:pStyle w:val="Paragraphedeliste1"/>
        <w:numPr>
          <w:ilvl w:val="0"/>
          <w:numId w:val="16"/>
        </w:numPr>
        <w:spacing w:after="0" w:line="240" w:lineRule="auto"/>
        <w:ind w:left="360"/>
        <w:rPr>
          <w:rStyle w:val="Hyperlink"/>
          <w:rFonts w:asciiTheme="minorHAnsi" w:hAnsiTheme="minorHAnsi" w:cstheme="minorHAnsi"/>
          <w:color w:val="auto"/>
          <w:u w:val="none"/>
          <w:lang w:val="fr-FR"/>
        </w:rPr>
      </w:pPr>
      <w:r>
        <w:rPr>
          <w:rFonts w:asciiTheme="minorHAnsi" w:hAnsiTheme="minorHAnsi" w:cstheme="minorBidi"/>
          <w:lang w:val="fr-FR"/>
        </w:rPr>
        <w:t xml:space="preserve">Le site web du WPHF </w:t>
      </w:r>
      <w:r>
        <w:rPr>
          <w:rStyle w:val="Hyperlink"/>
          <w:rFonts w:asciiTheme="minorHAnsi" w:hAnsiTheme="minorHAnsi" w:cstheme="minorBidi"/>
          <w:color w:val="0462C2"/>
          <w:lang w:val="fr-FR"/>
        </w:rPr>
        <w:t xml:space="preserve">www.wphfund.org </w:t>
      </w:r>
    </w:p>
    <w:p w:rsidR="00BB03D2" w:rsidRDefault="00000000" w14:paraId="2DAB28DA" w14:textId="77777777">
      <w:pPr>
        <w:pStyle w:val="Paragraphedeliste1"/>
        <w:numPr>
          <w:ilvl w:val="0"/>
          <w:numId w:val="16"/>
        </w:numPr>
        <w:spacing w:after="0" w:line="240" w:lineRule="auto"/>
        <w:ind w:left="360"/>
        <w:rPr>
          <w:rFonts w:asciiTheme="minorHAnsi" w:hAnsiTheme="minorHAnsi" w:cstheme="minorHAnsi"/>
          <w:lang w:val="fr-FR"/>
        </w:rPr>
      </w:pPr>
      <w:hyperlink r:id="rId12">
        <w:r w:rsidR="004F4B70">
          <w:rPr>
            <w:rStyle w:val="Hyperlink"/>
            <w:rFonts w:asciiTheme="minorHAnsi" w:hAnsiTheme="minorHAnsi" w:cstheme="minorBidi"/>
            <w:lang w:val="fr-FR"/>
          </w:rPr>
          <w:t>Fiche Conseil d’Indicateurs – Impact 3 </w:t>
        </w:r>
      </w:hyperlink>
      <w:r w:rsidR="004F4B70">
        <w:rPr>
          <w:rFonts w:asciiTheme="minorHAnsi" w:hAnsiTheme="minorHAnsi" w:cstheme="minorBidi"/>
          <w:color w:val="0462C2"/>
          <w:u w:val="single"/>
          <w:lang w:val="fr-FR"/>
        </w:rPr>
        <w:t xml:space="preserve"> </w:t>
      </w:r>
    </w:p>
    <w:p w:rsidR="00BB03D2" w:rsidRDefault="00000000" w14:paraId="1A4B00AC" w14:textId="77777777">
      <w:pPr>
        <w:pStyle w:val="Paragraphedeliste1"/>
        <w:numPr>
          <w:ilvl w:val="0"/>
          <w:numId w:val="16"/>
        </w:numPr>
        <w:spacing w:after="0" w:line="240" w:lineRule="auto"/>
        <w:ind w:left="360"/>
        <w:rPr>
          <w:rStyle w:val="Hyperlink"/>
          <w:rFonts w:asciiTheme="minorHAnsi" w:hAnsiTheme="minorHAnsi" w:cstheme="minorHAnsi"/>
          <w:color w:val="auto"/>
          <w:u w:val="none"/>
          <w:lang w:val="fr-FR"/>
        </w:rPr>
      </w:pPr>
      <w:hyperlink r:id="rId13">
        <w:r w:rsidR="004F4B70">
          <w:rPr>
            <w:rStyle w:val="Hyperlink"/>
            <w:rFonts w:asciiTheme="minorHAnsi" w:hAnsiTheme="minorHAnsi" w:cstheme="minorBidi"/>
            <w:lang w:val="fr-FR"/>
          </w:rPr>
          <w:t>Fiche conseil d’indicateurs – Impact 5</w:t>
        </w:r>
      </w:hyperlink>
      <w:r w:rsidR="004F4B70">
        <w:rPr>
          <w:rStyle w:val="Hyperlink"/>
          <w:rFonts w:asciiTheme="minorHAnsi" w:hAnsiTheme="minorHAnsi" w:cstheme="minorBidi"/>
          <w:color w:val="0462C2"/>
          <w:lang w:val="fr-FR"/>
        </w:rPr>
        <w:t xml:space="preserve"> </w:t>
      </w:r>
    </w:p>
    <w:p w:rsidR="00BB03D2" w:rsidRDefault="00000000" w14:paraId="4A659948" w14:textId="77777777">
      <w:pPr>
        <w:pStyle w:val="Paragraphedeliste1"/>
        <w:numPr>
          <w:ilvl w:val="0"/>
          <w:numId w:val="16"/>
        </w:numPr>
        <w:spacing w:after="0" w:line="240" w:lineRule="auto"/>
        <w:ind w:left="360"/>
        <w:rPr>
          <w:rStyle w:val="Hyperlink"/>
          <w:rFonts w:asciiTheme="minorHAnsi" w:hAnsiTheme="minorHAnsi" w:cstheme="minorHAnsi"/>
          <w:color w:val="auto"/>
          <w:u w:val="none"/>
          <w:lang w:val="fr-FR"/>
        </w:rPr>
      </w:pPr>
      <w:hyperlink r:id="rId14">
        <w:r w:rsidR="004F4B70">
          <w:rPr>
            <w:rStyle w:val="Hyperlink"/>
            <w:rFonts w:asciiTheme="minorHAnsi" w:hAnsiTheme="minorHAnsi" w:cstheme="minorBidi"/>
            <w:lang w:val="fr-FR"/>
          </w:rPr>
          <w:t>Fiche conseil d’indicateur-Impact 6</w:t>
        </w:r>
      </w:hyperlink>
    </w:p>
    <w:p w:rsidR="00BB03D2" w:rsidRDefault="00000000" w14:paraId="36B62DFB" w14:textId="77777777">
      <w:pPr>
        <w:pStyle w:val="Paragraphedeliste1"/>
        <w:numPr>
          <w:ilvl w:val="0"/>
          <w:numId w:val="16"/>
        </w:numPr>
        <w:spacing w:after="0" w:line="240" w:lineRule="auto"/>
        <w:ind w:left="360"/>
        <w:rPr>
          <w:rFonts w:asciiTheme="minorHAnsi" w:hAnsiTheme="minorHAnsi" w:cstheme="minorHAnsi"/>
          <w:lang w:val="fr-FR"/>
        </w:rPr>
      </w:pPr>
      <w:hyperlink r:id="rId15">
        <w:r w:rsidR="004F4B70">
          <w:rPr>
            <w:rStyle w:val="Hyperlink"/>
            <w:rFonts w:asciiTheme="minorHAnsi" w:hAnsiTheme="minorHAnsi" w:cstheme="minorBidi"/>
            <w:lang w:val="fr-FR"/>
          </w:rPr>
          <w:t>Fiche conseil d’indicateurs – Financement Institutionnel</w:t>
        </w:r>
      </w:hyperlink>
    </w:p>
    <w:p w:rsidR="00BB03D2" w:rsidRDefault="00000000" w14:paraId="060ED353" w14:textId="77777777">
      <w:pPr>
        <w:pStyle w:val="Paragraphedeliste1"/>
        <w:numPr>
          <w:ilvl w:val="0"/>
          <w:numId w:val="16"/>
        </w:numPr>
        <w:spacing w:after="0" w:line="240" w:lineRule="auto"/>
        <w:ind w:left="360"/>
        <w:rPr>
          <w:rFonts w:asciiTheme="minorHAnsi" w:hAnsiTheme="minorHAnsi" w:cstheme="minorHAnsi"/>
          <w:lang w:val="fr-FR"/>
        </w:rPr>
      </w:pPr>
      <w:hyperlink r:id="rId16">
        <w:r w:rsidR="004F4B70">
          <w:rPr>
            <w:rStyle w:val="Hyperlink"/>
            <w:rFonts w:asciiTheme="minorHAnsi" w:hAnsiTheme="minorHAnsi" w:cstheme="minorBidi"/>
            <w:lang w:val="fr-FR"/>
          </w:rPr>
          <w:t>Le manuel d'opérations du</w:t>
        </w:r>
      </w:hyperlink>
      <w:r w:rsidR="004F4B70">
        <w:rPr>
          <w:rStyle w:val="Hyperlink"/>
          <w:rFonts w:asciiTheme="minorHAnsi" w:hAnsiTheme="minorHAnsi" w:cstheme="minorBidi"/>
          <w:lang w:val="fr-FR"/>
        </w:rPr>
        <w:t xml:space="preserve"> </w:t>
      </w:r>
      <w:r w:rsidR="004F4B70">
        <w:rPr>
          <w:rFonts w:asciiTheme="minorHAnsi" w:hAnsiTheme="minorHAnsi" w:cstheme="minorBidi"/>
          <w:lang w:val="fr-FR"/>
        </w:rPr>
        <w:t xml:space="preserve">WPHF. </w:t>
      </w:r>
    </w:p>
    <w:p w:rsidR="00BB03D2" w:rsidRDefault="004F4B70" w14:paraId="01CDC22A" w14:textId="77777777">
      <w:pPr>
        <w:pStyle w:val="Paragraphedeliste1"/>
        <w:numPr>
          <w:ilvl w:val="0"/>
          <w:numId w:val="16"/>
        </w:numPr>
        <w:spacing w:after="0" w:line="240" w:lineRule="auto"/>
        <w:ind w:left="360"/>
        <w:rPr>
          <w:rStyle w:val="Hyperlink"/>
          <w:rFonts w:asciiTheme="minorHAnsi" w:hAnsiTheme="minorHAnsi" w:cstheme="minorHAnsi"/>
          <w:lang w:val="fr-FR"/>
        </w:rPr>
      </w:pPr>
      <w:r>
        <w:rPr>
          <w:rFonts w:asciiTheme="minorHAnsi" w:hAnsiTheme="minorHAnsi" w:cstheme="minorBidi"/>
          <w:lang w:val="fr-FR"/>
        </w:rPr>
        <w:t xml:space="preserve">Termes relatifs au suivi, à l’évaluation et à la gestion axée sur les résultats. Glossaire OECD/DAC des termes clés relatifs à l’évaluation, disponible en anglais, en français et en espagnol  </w:t>
      </w:r>
      <w:hyperlink r:id="rId17">
        <w:r>
          <w:rPr>
            <w:rStyle w:val="Hyperlink"/>
            <w:rFonts w:asciiTheme="minorHAnsi" w:hAnsiTheme="minorHAnsi" w:cstheme="minorBidi"/>
            <w:lang w:val="fr-FR"/>
          </w:rPr>
          <w:t>http://www.oecd.org/dataoecd/29/21/2754804.pdf</w:t>
        </w:r>
      </w:hyperlink>
    </w:p>
    <w:p w:rsidR="00BB03D2" w:rsidRDefault="00BB03D2" w14:paraId="4D9E82C6" w14:textId="77777777">
      <w:pPr>
        <w:rPr>
          <w:rStyle w:val="Hyperlink"/>
          <w:rFonts w:asciiTheme="minorHAnsi" w:hAnsiTheme="minorHAnsi" w:cstheme="minorHAnsi"/>
        </w:rPr>
      </w:pPr>
    </w:p>
    <w:p w:rsidR="00BB03D2" w:rsidRDefault="004F4B70" w14:paraId="550BC4A4" w14:textId="77777777">
      <w:pPr>
        <w:shd w:val="clear" w:color="auto" w:fill="DEEAF6" w:themeFill="accent5" w:themeFillTint="33"/>
        <w:rPr>
          <w:rFonts w:asciiTheme="minorHAnsi" w:hAnsiTheme="minorHAnsi" w:cstheme="minorHAnsi"/>
          <w:b/>
          <w:color w:val="009FE4"/>
          <w:sz w:val="22"/>
          <w:szCs w:val="22"/>
        </w:rPr>
      </w:pPr>
      <w:r>
        <w:rPr>
          <w:rFonts w:asciiTheme="minorHAnsi" w:hAnsiTheme="minorHAnsi" w:cstheme="minorHAnsi"/>
          <w:b/>
          <w:color w:val="009FE4"/>
          <w:sz w:val="22"/>
          <w:szCs w:val="22"/>
        </w:rPr>
        <w:t>À propos du Fond des Femmes pour la Paix et l’action Humanitaire (FFPH)</w:t>
      </w:r>
    </w:p>
    <w:p w:rsidR="00BB03D2" w:rsidRDefault="004F4B70" w14:paraId="3F83A8D6" w14:textId="77777777">
      <w:pPr>
        <w:shd w:val="clear" w:color="auto" w:fill="DEEAF6" w:themeFill="accent5" w:themeFillTint="33"/>
        <w:jc w:val="both"/>
        <w:rPr>
          <w:rFonts w:asciiTheme="minorHAnsi" w:hAnsiTheme="minorHAnsi" w:cstheme="minorHAnsi"/>
          <w:sz w:val="22"/>
          <w:szCs w:val="22"/>
        </w:rPr>
      </w:pPr>
      <w:r>
        <w:rPr>
          <w:rFonts w:asciiTheme="minorHAnsi" w:hAnsiTheme="minorHAnsi" w:cstheme="minorHAnsi"/>
          <w:sz w:val="22"/>
          <w:szCs w:val="22"/>
        </w:rPr>
        <w:t xml:space="preserve">Le FFPH est un mécanisme mondial de financement commun qui vise à stimuler une augmentation significative du financement de la participation, du leadership et de l’autonomisation des femmes dans les processus de paix et de sécurité et la réponse humanitaire. Le FFPH est un mécanisme de financement flexible et rapide. Il soutient des interventions de qualité conçues pour renforcer la </w:t>
      </w:r>
      <w:r>
        <w:rPr>
          <w:rFonts w:asciiTheme="minorHAnsi" w:hAnsiTheme="minorHAnsi" w:cstheme="minorHAnsi"/>
          <w:sz w:val="22"/>
          <w:szCs w:val="22"/>
        </w:rPr>
        <w:lastRenderedPageBreak/>
        <w:t xml:space="preserve">capacité des femmes locales à prévenir les conflits, à répondre aux crises et aux urgences et à saisir les principales opportunités de consolidation de la paix. L’objectif global de la théorie du changement de la FFPH est de contribuer à </w:t>
      </w:r>
      <w:r>
        <w:rPr>
          <w:rFonts w:asciiTheme="minorHAnsi" w:hAnsiTheme="minorHAnsi" w:cstheme="minorHAnsi"/>
          <w:b/>
          <w:bCs/>
          <w:sz w:val="22"/>
          <w:szCs w:val="22"/>
        </w:rPr>
        <w:t>des sociétés pacifiques et égalitaires</w:t>
      </w:r>
      <w:r>
        <w:rPr>
          <w:rFonts w:asciiTheme="minorHAnsi" w:hAnsiTheme="minorHAnsi" w:cstheme="minorHAnsi"/>
          <w:sz w:val="22"/>
          <w:szCs w:val="22"/>
        </w:rPr>
        <w:t>. Pour atteindre cet objectif, il faudra que les</w:t>
      </w:r>
      <w:r>
        <w:rPr>
          <w:sz w:val="22"/>
          <w:szCs w:val="22"/>
        </w:rPr>
        <w:t xml:space="preserve"> </w:t>
      </w:r>
      <w:r>
        <w:rPr>
          <w:rFonts w:asciiTheme="minorHAnsi" w:hAnsiTheme="minorHAnsi" w:cstheme="minorHAnsi"/>
          <w:sz w:val="22"/>
          <w:szCs w:val="22"/>
        </w:rPr>
        <w:t>femmes soient habilitées à participer, à contribuer et à bénéficier de la prévention des conflits, de l’intervention en cas de crise, de la consolidation de la paix et du relèvement. Depuis son lancement en 2016, WPHF a soutenu plus de 600 organisations de la société civile et est présent dans 32 pays ou groupes de pays.</w:t>
      </w:r>
    </w:p>
    <w:p w:rsidR="00BB03D2" w:rsidRDefault="00BB03D2" w14:paraId="38F0EABE" w14:textId="77777777">
      <w:pPr>
        <w:shd w:val="clear" w:color="auto" w:fill="DEEAF6" w:themeFill="accent5" w:themeFillTint="33"/>
        <w:jc w:val="both"/>
        <w:rPr>
          <w:rFonts w:asciiTheme="minorHAnsi" w:hAnsiTheme="minorHAnsi" w:cstheme="minorHAnsi"/>
          <w:b/>
          <w:sz w:val="22"/>
          <w:szCs w:val="22"/>
        </w:rPr>
      </w:pPr>
    </w:p>
    <w:p w:rsidR="00BB03D2" w:rsidRDefault="004F4B70" w14:paraId="0D6A3C11" w14:textId="77777777">
      <w:pPr>
        <w:shd w:val="clear" w:color="auto" w:fill="DEEAF6" w:themeFill="accent5" w:themeFillTint="33"/>
        <w:jc w:val="both"/>
        <w:rPr>
          <w:rFonts w:asciiTheme="minorHAnsi" w:hAnsiTheme="minorHAnsi" w:cstheme="minorHAnsi"/>
          <w:sz w:val="22"/>
          <w:szCs w:val="22"/>
        </w:rPr>
      </w:pPr>
      <w:r>
        <w:rPr>
          <w:rFonts w:asciiTheme="minorHAnsi" w:hAnsiTheme="minorHAnsi" w:cstheme="minorHAnsi"/>
          <w:sz w:val="22"/>
          <w:szCs w:val="22"/>
        </w:rPr>
        <w:t xml:space="preserve">Le FFPH est régi par un conseil de financement au niveau mondial, composé de quatre entités des Nations Unies (actuellement ONU Femmes, UNHCR, UNFPA et PBSO), quatre États membres donateurs (actuellement Norvège, Allemagne, Italie et les États Unis), ainsi que 4 organisations de la </w:t>
      </w:r>
      <w:proofErr w:type="spellStart"/>
      <w:r>
        <w:rPr>
          <w:rFonts w:asciiTheme="minorHAnsi" w:hAnsiTheme="minorHAnsi" w:cstheme="minorHAnsi"/>
          <w:sz w:val="22"/>
          <w:szCs w:val="22"/>
        </w:rPr>
        <w:t>sociéte</w:t>
      </w:r>
      <w:proofErr w:type="spellEnd"/>
      <w:r>
        <w:rPr>
          <w:rFonts w:asciiTheme="minorHAnsi" w:hAnsiTheme="minorHAnsi" w:cstheme="minorHAnsi"/>
          <w:sz w:val="22"/>
          <w:szCs w:val="22"/>
        </w:rPr>
        <w:t xml:space="preserve">́ civile (actuellement </w:t>
      </w:r>
      <w:proofErr w:type="spellStart"/>
      <w:r>
        <w:rPr>
          <w:rFonts w:asciiTheme="minorHAnsi" w:hAnsiTheme="minorHAnsi" w:cstheme="minorHAnsi"/>
          <w:sz w:val="22"/>
          <w:szCs w:val="22"/>
        </w:rPr>
        <w:t>Feminist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Humanitarian</w:t>
      </w:r>
      <w:proofErr w:type="spellEnd"/>
      <w:r>
        <w:rPr>
          <w:rFonts w:asciiTheme="minorHAnsi" w:hAnsiTheme="minorHAnsi" w:cstheme="minorHAnsi"/>
          <w:sz w:val="22"/>
          <w:szCs w:val="22"/>
        </w:rPr>
        <w:t xml:space="preserve"> Network, </w:t>
      </w:r>
      <w:proofErr w:type="spellStart"/>
      <w:r>
        <w:rPr>
          <w:rFonts w:asciiTheme="minorHAnsi" w:hAnsiTheme="minorHAnsi" w:cstheme="minorHAnsi"/>
          <w:sz w:val="22"/>
          <w:szCs w:val="22"/>
        </w:rPr>
        <w:t>Kvinna</w:t>
      </w:r>
      <w:proofErr w:type="spellEnd"/>
      <w:r>
        <w:rPr>
          <w:rFonts w:asciiTheme="minorHAnsi" w:hAnsiTheme="minorHAnsi" w:cstheme="minorHAnsi"/>
          <w:sz w:val="22"/>
          <w:szCs w:val="22"/>
        </w:rPr>
        <w:t xml:space="preserve"> till </w:t>
      </w:r>
      <w:proofErr w:type="spellStart"/>
      <w:r>
        <w:rPr>
          <w:rFonts w:asciiTheme="minorHAnsi" w:hAnsiTheme="minorHAnsi" w:cstheme="minorHAnsi"/>
          <w:sz w:val="22"/>
          <w:szCs w:val="22"/>
        </w:rPr>
        <w:t>Kvinna</w:t>
      </w:r>
      <w:proofErr w:type="spellEnd"/>
      <w:r>
        <w:rPr>
          <w:rFonts w:asciiTheme="minorHAnsi" w:hAnsiTheme="minorHAnsi" w:cstheme="minorHAnsi"/>
          <w:sz w:val="22"/>
          <w:szCs w:val="22"/>
        </w:rPr>
        <w:t xml:space="preserve">, Action </w:t>
      </w:r>
      <w:proofErr w:type="spellStart"/>
      <w:r>
        <w:rPr>
          <w:rFonts w:asciiTheme="minorHAnsi" w:hAnsiTheme="minorHAnsi" w:cstheme="minorHAnsi"/>
          <w:sz w:val="22"/>
          <w:szCs w:val="22"/>
        </w:rPr>
        <w:t>Aid</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Women’s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Refugee</w:t>
      </w:r>
      <w:proofErr w:type="spellEnd"/>
      <w:r>
        <w:rPr>
          <w:rFonts w:asciiTheme="minorHAnsi" w:hAnsiTheme="minorHAnsi" w:cstheme="minorHAnsi"/>
          <w:sz w:val="22"/>
          <w:szCs w:val="22"/>
        </w:rPr>
        <w:t xml:space="preserve"> Commission).</w:t>
      </w:r>
    </w:p>
    <w:p w:rsidR="00BB03D2" w:rsidRDefault="00BB03D2" w14:paraId="3F8EFEC4" w14:textId="77777777">
      <w:pPr>
        <w:shd w:val="clear" w:color="auto" w:fill="DEEAF6" w:themeFill="accent5" w:themeFillTint="33"/>
        <w:jc w:val="both"/>
        <w:rPr>
          <w:rFonts w:asciiTheme="minorHAnsi" w:hAnsiTheme="minorHAnsi" w:cstheme="minorHAnsi"/>
          <w:sz w:val="22"/>
          <w:szCs w:val="22"/>
        </w:rPr>
      </w:pPr>
    </w:p>
    <w:p w:rsidR="00BB03D2" w:rsidRDefault="004F4B70" w14:paraId="6BD06D95" w14:textId="77777777">
      <w:pPr>
        <w:shd w:val="clear" w:color="auto" w:fill="DEEAF6" w:themeFill="accent5" w:themeFillTint="33"/>
        <w:jc w:val="both"/>
        <w:rPr>
          <w:rFonts w:asciiTheme="minorHAnsi" w:hAnsiTheme="minorHAnsi" w:cstheme="minorBidi"/>
          <w:sz w:val="22"/>
          <w:szCs w:val="22"/>
        </w:rPr>
      </w:pPr>
      <w:r>
        <w:rPr>
          <w:rFonts w:asciiTheme="minorHAnsi" w:hAnsiTheme="minorHAnsi" w:cstheme="minorBidi"/>
          <w:sz w:val="22"/>
          <w:szCs w:val="22"/>
        </w:rPr>
        <w:t>Au niveau des pays, la sélection finale des propositions présélectionnées sera effectuée par un comité directeur national, composé d’agences des Nations Unies, d’organisations de la société civile, de représentants des donateurs et de gouvernements.</w:t>
      </w:r>
    </w:p>
    <w:p w:rsidR="00BB03D2" w:rsidRDefault="00BB03D2" w14:paraId="3608D8CD" w14:textId="77777777">
      <w:pPr>
        <w:rPr>
          <w:rStyle w:val="Hyperlink"/>
          <w:rFonts w:asciiTheme="minorHAnsi" w:hAnsiTheme="minorHAnsi" w:cstheme="minorHAnsi"/>
        </w:rPr>
      </w:pPr>
    </w:p>
    <w:sectPr w:rsidR="00BB03D2">
      <w:headerReference w:type="default" r:id="rId18"/>
      <w:footerReference w:type="even" r:id="rId19"/>
      <w:footerReference w:type="default" r:id="rId20"/>
      <w:pgSz w:w="11906" w:h="16838" w:orient="portrait"/>
      <w:pgMar w:top="1980" w:right="1417"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047" w:rsidRDefault="00863047" w14:paraId="0849ABD9" w14:textId="77777777">
      <w:r>
        <w:separator/>
      </w:r>
    </w:p>
  </w:endnote>
  <w:endnote w:type="continuationSeparator" w:id="0">
    <w:p w:rsidR="00863047" w:rsidRDefault="00863047" w14:paraId="2B7BFC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3D2" w:rsidRDefault="004F4B70" w14:paraId="2F861141" w14:textId="77777777">
    <w:pPr>
      <w:pStyle w:val="Footer"/>
      <w:framePr w:wrap="around"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p w:rsidR="00BB03D2" w:rsidRDefault="00BB03D2" w14:paraId="4550A4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8"/>
        <w:szCs w:val="28"/>
      </w:rPr>
      <w:id w:val="-980457825"/>
    </w:sdtPr>
    <w:sdtEndPr>
      <w:rPr>
        <w:rStyle w:val="PageNumber"/>
        <w:rFonts w:asciiTheme="minorHAnsi" w:hAnsiTheme="minorHAnsi" w:cstheme="minorHAnsi"/>
        <w:sz w:val="20"/>
        <w:szCs w:val="20"/>
      </w:rPr>
    </w:sdtEndPr>
    <w:sdtContent>
      <w:p w:rsidR="00BB03D2" w:rsidRDefault="004F4B70" w14:paraId="573ADAAA" w14:textId="77777777">
        <w:pPr>
          <w:pStyle w:val="Footer"/>
          <w:framePr w:wrap="around" w:hAnchor="margin" w:vAnchor="text" w:xAlign="center" w:y="1"/>
          <w:rPr>
            <w:rStyle w:val="PageNumber"/>
            <w:rFonts w:asciiTheme="minorHAnsi" w:hAnsiTheme="minorHAnsi" w:cstheme="minorHAnsi"/>
            <w:sz w:val="20"/>
            <w:szCs w:val="20"/>
          </w:rPr>
        </w:pPr>
        <w:r>
          <w:rPr>
            <w:rStyle w:val="PageNumber"/>
            <w:rFonts w:asciiTheme="minorHAnsi" w:hAnsiTheme="minorHAnsi" w:cstheme="minorHAnsi"/>
            <w:sz w:val="20"/>
            <w:szCs w:val="20"/>
          </w:rPr>
          <w:fldChar w:fldCharType="begin"/>
        </w:r>
        <w:r>
          <w:rPr>
            <w:rStyle w:val="PageNumber"/>
            <w:rFonts w:asciiTheme="minorHAnsi" w:hAnsiTheme="minorHAnsi" w:cstheme="minorHAnsi"/>
            <w:sz w:val="20"/>
            <w:szCs w:val="20"/>
          </w:rPr>
          <w:instrText xml:space="preserve"> PAGE </w:instrText>
        </w:r>
        <w:r>
          <w:rPr>
            <w:rStyle w:val="PageNumber"/>
            <w:rFonts w:asciiTheme="minorHAnsi" w:hAnsiTheme="minorHAnsi" w:cstheme="minorHAnsi"/>
            <w:sz w:val="20"/>
            <w:szCs w:val="20"/>
          </w:rPr>
          <w:fldChar w:fldCharType="separate"/>
        </w:r>
        <w:r>
          <w:rPr>
            <w:rStyle w:val="PageNumber"/>
            <w:rFonts w:asciiTheme="minorHAnsi" w:hAnsiTheme="minorHAnsi" w:cstheme="minorHAnsi"/>
            <w:sz w:val="20"/>
            <w:szCs w:val="20"/>
          </w:rPr>
          <w:t>7</w:t>
        </w:r>
        <w:r>
          <w:rPr>
            <w:rStyle w:val="PageNumber"/>
            <w:rFonts w:asciiTheme="minorHAnsi" w:hAnsiTheme="minorHAnsi" w:cstheme="minorHAnsi"/>
            <w:sz w:val="20"/>
            <w:szCs w:val="20"/>
          </w:rPr>
          <w:fldChar w:fldCharType="end"/>
        </w:r>
      </w:p>
    </w:sdtContent>
  </w:sdt>
  <w:p w:rsidR="00BB03D2" w:rsidRDefault="00BB03D2" w14:paraId="24BD8E75" w14:textId="77777777">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047" w:rsidRDefault="00863047" w14:paraId="5ED58ED8" w14:textId="77777777">
      <w:r>
        <w:separator/>
      </w:r>
    </w:p>
  </w:footnote>
  <w:footnote w:type="continuationSeparator" w:id="0">
    <w:p w:rsidR="00863047" w:rsidRDefault="00863047" w14:paraId="46D08A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9625"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7"/>
      <w:gridCol w:w="4558"/>
    </w:tblGrid>
    <w:tr w:rsidR="00BB03D2" w14:paraId="7194AC4D" w14:textId="77777777">
      <w:tc>
        <w:tcPr>
          <w:tcW w:w="5067" w:type="dxa"/>
          <w:vAlign w:val="center"/>
        </w:tcPr>
        <w:p w:rsidR="00BB03D2" w:rsidRDefault="00BB03D2" w14:paraId="0C660D26" w14:textId="77777777">
          <w:pPr>
            <w:ind w:right="-360"/>
            <w:rPr>
              <w:b/>
              <w:sz w:val="28"/>
              <w:szCs w:val="28"/>
            </w:rPr>
          </w:pPr>
        </w:p>
      </w:tc>
      <w:tc>
        <w:tcPr>
          <w:tcW w:w="4558" w:type="dxa"/>
          <w:vAlign w:val="center"/>
        </w:tcPr>
        <w:p w:rsidR="00BB03D2" w:rsidRDefault="00BB03D2" w14:paraId="42131836" w14:textId="77777777">
          <w:pPr>
            <w:ind w:right="-193"/>
            <w:rPr>
              <w:b/>
              <w:sz w:val="28"/>
              <w:szCs w:val="28"/>
            </w:rPr>
          </w:pPr>
        </w:p>
      </w:tc>
    </w:tr>
  </w:tbl>
  <w:p w:rsidR="00BB03D2" w:rsidRDefault="004F4B70" w14:paraId="6FA2FA42" w14:textId="77777777">
    <w:pPr>
      <w:pStyle w:val="Header"/>
      <w:jc w:val="center"/>
    </w:pPr>
    <w:r>
      <w:rPr>
        <w:noProof/>
        <w:color w:val="2B579A"/>
        <w:shd w:val="clear" w:color="auto" w:fill="E6E6E6"/>
      </w:rPr>
      <w:drawing>
        <wp:anchor distT="0" distB="0" distL="114300" distR="114300" simplePos="0" relativeHeight="251660288" behindDoc="0" locked="0" layoutInCell="1" allowOverlap="1" wp14:anchorId="496F6B93" wp14:editId="527EC4A9">
          <wp:simplePos x="0" y="0"/>
          <wp:positionH relativeFrom="margin">
            <wp:posOffset>1675765</wp:posOffset>
          </wp:positionH>
          <wp:positionV relativeFrom="margin">
            <wp:posOffset>-808990</wp:posOffset>
          </wp:positionV>
          <wp:extent cx="2355850" cy="522605"/>
          <wp:effectExtent l="0" t="0" r="6350" b="0"/>
          <wp:wrapNone/>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355850" cy="522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4EB7"/>
    <w:multiLevelType w:val="multilevel"/>
    <w:tmpl w:val="08A24EB7"/>
    <w:lvl w:ilvl="0">
      <w:start w:val="1"/>
      <w:numFmt w:val="bullet"/>
      <w:lvlText w:val=""/>
      <w:lvlJc w:val="left"/>
      <w:pPr>
        <w:tabs>
          <w:tab w:val="left" w:pos="360"/>
        </w:tabs>
        <w:ind w:left="360" w:hanging="360"/>
      </w:pPr>
      <w:rPr>
        <w:rFonts w:hint="default" w:ascii="Wingdings" w:hAnsi="Wingdings"/>
        <w:color w:val="00ADEA"/>
      </w:rPr>
    </w:lvl>
    <w:lvl w:ilvl="1">
      <w:start w:val="1"/>
      <w:numFmt w:val="bullet"/>
      <w:lvlText w:val="o"/>
      <w:lvlJc w:val="left"/>
      <w:pPr>
        <w:tabs>
          <w:tab w:val="left" w:pos="1080"/>
        </w:tabs>
        <w:ind w:left="1080" w:hanging="360"/>
      </w:pPr>
      <w:rPr>
        <w:rFonts w:hint="default" w:ascii="Courier New" w:hAnsi="Courier New"/>
      </w:rPr>
    </w:lvl>
    <w:lvl w:ilvl="2">
      <w:start w:val="1"/>
      <w:numFmt w:val="bullet"/>
      <w:lvlText w:val=""/>
      <w:lvlJc w:val="left"/>
      <w:pPr>
        <w:tabs>
          <w:tab w:val="left" w:pos="1800"/>
        </w:tabs>
        <w:ind w:left="1800" w:hanging="360"/>
      </w:pPr>
      <w:rPr>
        <w:rFonts w:hint="default" w:ascii="Wingdings" w:hAnsi="Wingdings"/>
      </w:rPr>
    </w:lvl>
    <w:lvl w:ilvl="3">
      <w:start w:val="1"/>
      <w:numFmt w:val="bullet"/>
      <w:lvlText w:val=""/>
      <w:lvlJc w:val="left"/>
      <w:pPr>
        <w:tabs>
          <w:tab w:val="left" w:pos="2520"/>
        </w:tabs>
        <w:ind w:left="2520" w:hanging="360"/>
      </w:pPr>
      <w:rPr>
        <w:rFonts w:hint="default" w:ascii="Symbol" w:hAnsi="Symbol"/>
      </w:rPr>
    </w:lvl>
    <w:lvl w:ilvl="4">
      <w:start w:val="1"/>
      <w:numFmt w:val="bullet"/>
      <w:lvlText w:val="o"/>
      <w:lvlJc w:val="left"/>
      <w:pPr>
        <w:tabs>
          <w:tab w:val="left" w:pos="3240"/>
        </w:tabs>
        <w:ind w:left="3240" w:hanging="360"/>
      </w:pPr>
      <w:rPr>
        <w:rFonts w:hint="default" w:ascii="Courier New" w:hAnsi="Courier New"/>
      </w:rPr>
    </w:lvl>
    <w:lvl w:ilvl="5">
      <w:start w:val="1"/>
      <w:numFmt w:val="bullet"/>
      <w:lvlText w:val=""/>
      <w:lvlJc w:val="left"/>
      <w:pPr>
        <w:tabs>
          <w:tab w:val="left" w:pos="3960"/>
        </w:tabs>
        <w:ind w:left="3960" w:hanging="360"/>
      </w:pPr>
      <w:rPr>
        <w:rFonts w:hint="default" w:ascii="Wingdings" w:hAnsi="Wingdings"/>
      </w:rPr>
    </w:lvl>
    <w:lvl w:ilvl="6">
      <w:start w:val="1"/>
      <w:numFmt w:val="bullet"/>
      <w:lvlText w:val=""/>
      <w:lvlJc w:val="left"/>
      <w:pPr>
        <w:tabs>
          <w:tab w:val="left" w:pos="4680"/>
        </w:tabs>
        <w:ind w:left="4680" w:hanging="360"/>
      </w:pPr>
      <w:rPr>
        <w:rFonts w:hint="default" w:ascii="Symbol" w:hAnsi="Symbol"/>
      </w:rPr>
    </w:lvl>
    <w:lvl w:ilvl="7">
      <w:start w:val="1"/>
      <w:numFmt w:val="bullet"/>
      <w:lvlText w:val="o"/>
      <w:lvlJc w:val="left"/>
      <w:pPr>
        <w:tabs>
          <w:tab w:val="left" w:pos="5400"/>
        </w:tabs>
        <w:ind w:left="5400" w:hanging="360"/>
      </w:pPr>
      <w:rPr>
        <w:rFonts w:hint="default" w:ascii="Courier New" w:hAnsi="Courier New"/>
      </w:rPr>
    </w:lvl>
    <w:lvl w:ilvl="8">
      <w:start w:val="1"/>
      <w:numFmt w:val="bullet"/>
      <w:lvlText w:val=""/>
      <w:lvlJc w:val="left"/>
      <w:pPr>
        <w:tabs>
          <w:tab w:val="left" w:pos="6120"/>
        </w:tabs>
        <w:ind w:left="6120" w:hanging="360"/>
      </w:pPr>
      <w:rPr>
        <w:rFonts w:hint="default" w:ascii="Wingdings" w:hAnsi="Wingdings"/>
      </w:rPr>
    </w:lvl>
  </w:abstractNum>
  <w:abstractNum w:abstractNumId="1" w15:restartNumberingAfterBreak="0">
    <w:nsid w:val="380C5D6F"/>
    <w:multiLevelType w:val="multilevel"/>
    <w:tmpl w:val="380C5D6F"/>
    <w:lvl w:ilvl="0">
      <w:start w:val="1"/>
      <w:numFmt w:val="bullet"/>
      <w:lvlText w:val=""/>
      <w:lvlJc w:val="left"/>
      <w:pPr>
        <w:tabs>
          <w:tab w:val="left" w:pos="360"/>
        </w:tabs>
        <w:ind w:left="360" w:hanging="360"/>
      </w:pPr>
      <w:rPr>
        <w:rFonts w:hint="default" w:ascii="Wingdings" w:hAnsi="Wingdings"/>
        <w:color w:val="00ADEA"/>
      </w:rPr>
    </w:lvl>
    <w:lvl w:ilvl="1">
      <w:start w:val="1"/>
      <w:numFmt w:val="bullet"/>
      <w:lvlText w:val="o"/>
      <w:lvlJc w:val="left"/>
      <w:pPr>
        <w:tabs>
          <w:tab w:val="left" w:pos="1080"/>
        </w:tabs>
        <w:ind w:left="1080" w:hanging="360"/>
      </w:pPr>
      <w:rPr>
        <w:rFonts w:hint="default" w:ascii="Courier New" w:hAnsi="Courier New"/>
      </w:rPr>
    </w:lvl>
    <w:lvl w:ilvl="2">
      <w:start w:val="1"/>
      <w:numFmt w:val="bullet"/>
      <w:lvlText w:val=""/>
      <w:lvlJc w:val="left"/>
      <w:pPr>
        <w:tabs>
          <w:tab w:val="left" w:pos="1800"/>
        </w:tabs>
        <w:ind w:left="1800" w:hanging="360"/>
      </w:pPr>
      <w:rPr>
        <w:rFonts w:hint="default" w:ascii="Wingdings" w:hAnsi="Wingdings"/>
      </w:rPr>
    </w:lvl>
    <w:lvl w:ilvl="3">
      <w:start w:val="1"/>
      <w:numFmt w:val="bullet"/>
      <w:lvlText w:val=""/>
      <w:lvlJc w:val="left"/>
      <w:pPr>
        <w:tabs>
          <w:tab w:val="left" w:pos="2520"/>
        </w:tabs>
        <w:ind w:left="2520" w:hanging="360"/>
      </w:pPr>
      <w:rPr>
        <w:rFonts w:hint="default" w:ascii="Symbol" w:hAnsi="Symbol"/>
      </w:rPr>
    </w:lvl>
    <w:lvl w:ilvl="4">
      <w:start w:val="1"/>
      <w:numFmt w:val="bullet"/>
      <w:lvlText w:val="o"/>
      <w:lvlJc w:val="left"/>
      <w:pPr>
        <w:tabs>
          <w:tab w:val="left" w:pos="3240"/>
        </w:tabs>
        <w:ind w:left="3240" w:hanging="360"/>
      </w:pPr>
      <w:rPr>
        <w:rFonts w:hint="default" w:ascii="Courier New" w:hAnsi="Courier New"/>
      </w:rPr>
    </w:lvl>
    <w:lvl w:ilvl="5">
      <w:start w:val="1"/>
      <w:numFmt w:val="bullet"/>
      <w:lvlText w:val=""/>
      <w:lvlJc w:val="left"/>
      <w:pPr>
        <w:tabs>
          <w:tab w:val="left" w:pos="3960"/>
        </w:tabs>
        <w:ind w:left="3960" w:hanging="360"/>
      </w:pPr>
      <w:rPr>
        <w:rFonts w:hint="default" w:ascii="Wingdings" w:hAnsi="Wingdings"/>
      </w:rPr>
    </w:lvl>
    <w:lvl w:ilvl="6">
      <w:start w:val="1"/>
      <w:numFmt w:val="bullet"/>
      <w:lvlText w:val=""/>
      <w:lvlJc w:val="left"/>
      <w:pPr>
        <w:tabs>
          <w:tab w:val="left" w:pos="4680"/>
        </w:tabs>
        <w:ind w:left="4680" w:hanging="360"/>
      </w:pPr>
      <w:rPr>
        <w:rFonts w:hint="default" w:ascii="Symbol" w:hAnsi="Symbol"/>
      </w:rPr>
    </w:lvl>
    <w:lvl w:ilvl="7">
      <w:start w:val="1"/>
      <w:numFmt w:val="bullet"/>
      <w:lvlText w:val="o"/>
      <w:lvlJc w:val="left"/>
      <w:pPr>
        <w:tabs>
          <w:tab w:val="left" w:pos="5400"/>
        </w:tabs>
        <w:ind w:left="5400" w:hanging="360"/>
      </w:pPr>
      <w:rPr>
        <w:rFonts w:hint="default" w:ascii="Courier New" w:hAnsi="Courier New"/>
      </w:rPr>
    </w:lvl>
    <w:lvl w:ilvl="8">
      <w:start w:val="1"/>
      <w:numFmt w:val="bullet"/>
      <w:lvlText w:val=""/>
      <w:lvlJc w:val="left"/>
      <w:pPr>
        <w:tabs>
          <w:tab w:val="left" w:pos="6120"/>
        </w:tabs>
        <w:ind w:left="6120" w:hanging="360"/>
      </w:pPr>
      <w:rPr>
        <w:rFonts w:hint="default" w:ascii="Wingdings" w:hAnsi="Wingdings"/>
      </w:rPr>
    </w:lvl>
  </w:abstractNum>
  <w:abstractNum w:abstractNumId="2" w15:restartNumberingAfterBreak="0">
    <w:nsid w:val="38A13096"/>
    <w:multiLevelType w:val="multilevel"/>
    <w:tmpl w:val="38A13096"/>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5A0320"/>
    <w:multiLevelType w:val="multilevel"/>
    <w:tmpl w:val="445A0320"/>
    <w:lvl w:ilvl="0">
      <w:start w:val="1"/>
      <w:numFmt w:val="bullet"/>
      <w:lvlText w:val=""/>
      <w:lvlJc w:val="left"/>
      <w:pPr>
        <w:tabs>
          <w:tab w:val="left" w:pos="360"/>
        </w:tabs>
        <w:ind w:left="360" w:hanging="360"/>
      </w:pPr>
      <w:rPr>
        <w:rFonts w:hint="default" w:ascii="Wingdings" w:hAnsi="Wingdings"/>
        <w:color w:val="00ADEA"/>
      </w:rPr>
    </w:lvl>
    <w:lvl w:ilvl="1">
      <w:start w:val="1"/>
      <w:numFmt w:val="bullet"/>
      <w:lvlText w:val="o"/>
      <w:lvlJc w:val="left"/>
      <w:pPr>
        <w:tabs>
          <w:tab w:val="left" w:pos="1080"/>
        </w:tabs>
        <w:ind w:left="1080" w:hanging="360"/>
      </w:pPr>
      <w:rPr>
        <w:rFonts w:hint="default" w:ascii="Courier New" w:hAnsi="Courier New"/>
      </w:rPr>
    </w:lvl>
    <w:lvl w:ilvl="2">
      <w:start w:val="1"/>
      <w:numFmt w:val="bullet"/>
      <w:lvlText w:val=""/>
      <w:lvlJc w:val="left"/>
      <w:pPr>
        <w:tabs>
          <w:tab w:val="left" w:pos="1800"/>
        </w:tabs>
        <w:ind w:left="1800" w:hanging="360"/>
      </w:pPr>
      <w:rPr>
        <w:rFonts w:hint="default" w:ascii="Wingdings" w:hAnsi="Wingdings"/>
      </w:rPr>
    </w:lvl>
    <w:lvl w:ilvl="3">
      <w:start w:val="1"/>
      <w:numFmt w:val="bullet"/>
      <w:lvlText w:val=""/>
      <w:lvlJc w:val="left"/>
      <w:pPr>
        <w:tabs>
          <w:tab w:val="left" w:pos="2520"/>
        </w:tabs>
        <w:ind w:left="2520" w:hanging="360"/>
      </w:pPr>
      <w:rPr>
        <w:rFonts w:hint="default" w:ascii="Symbol" w:hAnsi="Symbol"/>
      </w:rPr>
    </w:lvl>
    <w:lvl w:ilvl="4">
      <w:start w:val="1"/>
      <w:numFmt w:val="bullet"/>
      <w:lvlText w:val="o"/>
      <w:lvlJc w:val="left"/>
      <w:pPr>
        <w:tabs>
          <w:tab w:val="left" w:pos="3240"/>
        </w:tabs>
        <w:ind w:left="3240" w:hanging="360"/>
      </w:pPr>
      <w:rPr>
        <w:rFonts w:hint="default" w:ascii="Courier New" w:hAnsi="Courier New"/>
      </w:rPr>
    </w:lvl>
    <w:lvl w:ilvl="5">
      <w:start w:val="1"/>
      <w:numFmt w:val="bullet"/>
      <w:lvlText w:val=""/>
      <w:lvlJc w:val="left"/>
      <w:pPr>
        <w:tabs>
          <w:tab w:val="left" w:pos="3960"/>
        </w:tabs>
        <w:ind w:left="3960" w:hanging="360"/>
      </w:pPr>
      <w:rPr>
        <w:rFonts w:hint="default" w:ascii="Wingdings" w:hAnsi="Wingdings"/>
      </w:rPr>
    </w:lvl>
    <w:lvl w:ilvl="6">
      <w:start w:val="1"/>
      <w:numFmt w:val="bullet"/>
      <w:lvlText w:val=""/>
      <w:lvlJc w:val="left"/>
      <w:pPr>
        <w:tabs>
          <w:tab w:val="left" w:pos="4680"/>
        </w:tabs>
        <w:ind w:left="4680" w:hanging="360"/>
      </w:pPr>
      <w:rPr>
        <w:rFonts w:hint="default" w:ascii="Symbol" w:hAnsi="Symbol"/>
      </w:rPr>
    </w:lvl>
    <w:lvl w:ilvl="7">
      <w:start w:val="1"/>
      <w:numFmt w:val="bullet"/>
      <w:lvlText w:val="o"/>
      <w:lvlJc w:val="left"/>
      <w:pPr>
        <w:tabs>
          <w:tab w:val="left" w:pos="5400"/>
        </w:tabs>
        <w:ind w:left="5400" w:hanging="360"/>
      </w:pPr>
      <w:rPr>
        <w:rFonts w:hint="default" w:ascii="Courier New" w:hAnsi="Courier New"/>
      </w:rPr>
    </w:lvl>
    <w:lvl w:ilvl="8">
      <w:start w:val="1"/>
      <w:numFmt w:val="bullet"/>
      <w:lvlText w:val=""/>
      <w:lvlJc w:val="left"/>
      <w:pPr>
        <w:tabs>
          <w:tab w:val="left" w:pos="6120"/>
        </w:tabs>
        <w:ind w:left="6120" w:hanging="360"/>
      </w:pPr>
      <w:rPr>
        <w:rFonts w:hint="default" w:ascii="Wingdings" w:hAnsi="Wingdings"/>
      </w:rPr>
    </w:lvl>
  </w:abstractNum>
  <w:abstractNum w:abstractNumId="4" w15:restartNumberingAfterBreak="0">
    <w:nsid w:val="4A69576E"/>
    <w:multiLevelType w:val="multilevel"/>
    <w:tmpl w:val="4A69576E"/>
    <w:lvl w:ilvl="0">
      <w:start w:val="1"/>
      <w:numFmt w:val="bullet"/>
      <w:lvlText w:val=""/>
      <w:lvlJc w:val="left"/>
      <w:pPr>
        <w:ind w:left="1176" w:hanging="360"/>
      </w:pPr>
      <w:rPr>
        <w:rFonts w:hint="default" w:ascii="Wingdings" w:hAnsi="Wingdings"/>
        <w:color w:val="00ADEA"/>
      </w:rPr>
    </w:lvl>
    <w:lvl w:ilvl="1">
      <w:start w:val="1"/>
      <w:numFmt w:val="bullet"/>
      <w:lvlText w:val="o"/>
      <w:lvlJc w:val="left"/>
      <w:pPr>
        <w:ind w:left="1896" w:hanging="360"/>
      </w:pPr>
      <w:rPr>
        <w:rFonts w:hint="default" w:ascii="Courier New" w:hAnsi="Courier New" w:cs="Courier New"/>
      </w:rPr>
    </w:lvl>
    <w:lvl w:ilvl="2">
      <w:start w:val="1"/>
      <w:numFmt w:val="bullet"/>
      <w:lvlText w:val=""/>
      <w:lvlJc w:val="left"/>
      <w:pPr>
        <w:ind w:left="2616" w:hanging="360"/>
      </w:pPr>
      <w:rPr>
        <w:rFonts w:hint="default" w:ascii="Wingdings" w:hAnsi="Wingdings"/>
      </w:rPr>
    </w:lvl>
    <w:lvl w:ilvl="3">
      <w:start w:val="1"/>
      <w:numFmt w:val="bullet"/>
      <w:lvlText w:val=""/>
      <w:lvlJc w:val="left"/>
      <w:pPr>
        <w:ind w:left="3336" w:hanging="360"/>
      </w:pPr>
      <w:rPr>
        <w:rFonts w:hint="default" w:ascii="Symbol" w:hAnsi="Symbol"/>
      </w:rPr>
    </w:lvl>
    <w:lvl w:ilvl="4">
      <w:start w:val="1"/>
      <w:numFmt w:val="bullet"/>
      <w:lvlText w:val="o"/>
      <w:lvlJc w:val="left"/>
      <w:pPr>
        <w:ind w:left="4056" w:hanging="360"/>
      </w:pPr>
      <w:rPr>
        <w:rFonts w:hint="default" w:ascii="Courier New" w:hAnsi="Courier New" w:cs="Courier New"/>
      </w:rPr>
    </w:lvl>
    <w:lvl w:ilvl="5">
      <w:start w:val="1"/>
      <w:numFmt w:val="bullet"/>
      <w:lvlText w:val=""/>
      <w:lvlJc w:val="left"/>
      <w:pPr>
        <w:ind w:left="4776" w:hanging="360"/>
      </w:pPr>
      <w:rPr>
        <w:rFonts w:hint="default" w:ascii="Wingdings" w:hAnsi="Wingdings"/>
      </w:rPr>
    </w:lvl>
    <w:lvl w:ilvl="6">
      <w:start w:val="1"/>
      <w:numFmt w:val="bullet"/>
      <w:lvlText w:val=""/>
      <w:lvlJc w:val="left"/>
      <w:pPr>
        <w:ind w:left="5496" w:hanging="360"/>
      </w:pPr>
      <w:rPr>
        <w:rFonts w:hint="default" w:ascii="Symbol" w:hAnsi="Symbol"/>
      </w:rPr>
    </w:lvl>
    <w:lvl w:ilvl="7">
      <w:start w:val="1"/>
      <w:numFmt w:val="bullet"/>
      <w:lvlText w:val="o"/>
      <w:lvlJc w:val="left"/>
      <w:pPr>
        <w:ind w:left="6216" w:hanging="360"/>
      </w:pPr>
      <w:rPr>
        <w:rFonts w:hint="default" w:ascii="Courier New" w:hAnsi="Courier New" w:cs="Courier New"/>
      </w:rPr>
    </w:lvl>
    <w:lvl w:ilvl="8">
      <w:start w:val="1"/>
      <w:numFmt w:val="bullet"/>
      <w:lvlText w:val=""/>
      <w:lvlJc w:val="left"/>
      <w:pPr>
        <w:ind w:left="6936" w:hanging="360"/>
      </w:pPr>
      <w:rPr>
        <w:rFonts w:hint="default" w:ascii="Wingdings" w:hAnsi="Wingdings"/>
      </w:rPr>
    </w:lvl>
  </w:abstractNum>
  <w:abstractNum w:abstractNumId="5" w15:restartNumberingAfterBreak="0">
    <w:nsid w:val="4B0B2243"/>
    <w:multiLevelType w:val="multilevel"/>
    <w:tmpl w:val="4B0B2243"/>
    <w:lvl w:ilvl="0">
      <w:start w:val="1"/>
      <w:numFmt w:val="bullet"/>
      <w:lvlText w:val=""/>
      <w:lvlJc w:val="left"/>
      <w:pPr>
        <w:ind w:left="360" w:hanging="360"/>
      </w:pPr>
      <w:rPr>
        <w:rFonts w:hint="default" w:ascii="Wingdings" w:hAnsi="Wingdings"/>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6" w15:restartNumberingAfterBreak="0">
    <w:nsid w:val="5179656C"/>
    <w:multiLevelType w:val="multilevel"/>
    <w:tmpl w:val="5179656C"/>
    <w:lvl w:ilvl="0">
      <w:start w:val="1"/>
      <w:numFmt w:val="bullet"/>
      <w:lvlText w:val=""/>
      <w:lvlJc w:val="left"/>
      <w:pPr>
        <w:ind w:left="360" w:hanging="360"/>
      </w:pPr>
      <w:rPr>
        <w:rFonts w:hint="default" w:ascii="Wingdings" w:hAnsi="Wingdings"/>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7" w15:restartNumberingAfterBreak="0">
    <w:nsid w:val="535104FE"/>
    <w:multiLevelType w:val="multilevel"/>
    <w:tmpl w:val="535104FE"/>
    <w:lvl w:ilvl="0">
      <w:start w:val="1"/>
      <w:numFmt w:val="bullet"/>
      <w:lvlText w:val="o"/>
      <w:lvlJc w:val="left"/>
      <w:pPr>
        <w:ind w:left="1080" w:hanging="360"/>
      </w:pPr>
      <w:rPr>
        <w:rFonts w:hint="default" w:ascii="Wingdings" w:hAnsi="Wingdings"/>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8" w15:restartNumberingAfterBreak="0">
    <w:nsid w:val="578F4168"/>
    <w:multiLevelType w:val="multilevel"/>
    <w:tmpl w:val="578F4168"/>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5B3829FB"/>
    <w:multiLevelType w:val="multilevel"/>
    <w:tmpl w:val="5B3829FB"/>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0" w15:restartNumberingAfterBreak="0">
    <w:nsid w:val="68607E0F"/>
    <w:multiLevelType w:val="multilevel"/>
    <w:tmpl w:val="68607E0F"/>
    <w:lvl w:ilvl="0">
      <w:start w:val="1"/>
      <w:numFmt w:val="bullet"/>
      <w:lvlText w:val=""/>
      <w:lvlJc w:val="left"/>
      <w:pPr>
        <w:ind w:left="360" w:hanging="360"/>
      </w:pPr>
      <w:rPr>
        <w:rFonts w:hint="default" w:ascii="Wingdings" w:hAnsi="Wingdings"/>
        <w:color w:val="00ADEA"/>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1" w15:restartNumberingAfterBreak="0">
    <w:nsid w:val="6B8A4BEB"/>
    <w:multiLevelType w:val="multilevel"/>
    <w:tmpl w:val="6B8A4BEB"/>
    <w:lvl w:ilvl="0">
      <w:start w:val="1"/>
      <w:numFmt w:val="bullet"/>
      <w:lvlText w:val="o"/>
      <w:lvlJc w:val="left"/>
      <w:pPr>
        <w:ind w:left="1080" w:hanging="360"/>
      </w:pPr>
      <w:rPr>
        <w:rFonts w:hint="default" w:ascii="Wingdings" w:hAnsi="Wingdings"/>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2" w15:restartNumberingAfterBreak="0">
    <w:nsid w:val="7B3737CA"/>
    <w:multiLevelType w:val="multilevel"/>
    <w:tmpl w:val="7B3737CA"/>
    <w:lvl w:ilvl="0">
      <w:start w:val="2"/>
      <w:numFmt w:val="decimal"/>
      <w:lvlText w:val="%1."/>
      <w:lvlJc w:val="left"/>
      <w:pPr>
        <w:tabs>
          <w:tab w:val="left" w:pos="720"/>
        </w:tabs>
        <w:ind w:left="720" w:hanging="720"/>
      </w:pPr>
      <w:rPr>
        <w:rFonts w:hint="default"/>
      </w:rPr>
    </w:lvl>
    <w:lvl w:ilvl="1">
      <w:start w:val="1"/>
      <w:numFmt w:val="decimal"/>
      <w:lvlText w:val="%2."/>
      <w:lvlJc w:val="left"/>
      <w:pPr>
        <w:tabs>
          <w:tab w:val="left" w:pos="1440"/>
        </w:tabs>
        <w:ind w:left="1440" w:hanging="720"/>
      </w:pPr>
      <w:rPr>
        <w:rFonts w:hint="default"/>
      </w:rPr>
    </w:lvl>
    <w:lvl w:ilvl="2">
      <w:start w:val="1"/>
      <w:numFmt w:val="decimal"/>
      <w:lvlText w:val="%3."/>
      <w:lvlJc w:val="left"/>
      <w:pPr>
        <w:tabs>
          <w:tab w:val="left" w:pos="2160"/>
        </w:tabs>
        <w:ind w:left="2160" w:hanging="720"/>
      </w:pPr>
      <w:rPr>
        <w:rFonts w:hint="default"/>
      </w:rPr>
    </w:lvl>
    <w:lvl w:ilvl="3">
      <w:start w:val="1"/>
      <w:numFmt w:val="decimal"/>
      <w:lvlText w:val="%4."/>
      <w:lvlJc w:val="left"/>
      <w:pPr>
        <w:tabs>
          <w:tab w:val="left" w:pos="2880"/>
        </w:tabs>
        <w:ind w:left="2880" w:hanging="720"/>
      </w:pPr>
      <w:rPr>
        <w:rFonts w:hint="default"/>
      </w:rPr>
    </w:lvl>
    <w:lvl w:ilvl="4">
      <w:start w:val="1"/>
      <w:numFmt w:val="decimal"/>
      <w:lvlText w:val="%5."/>
      <w:lvlJc w:val="left"/>
      <w:pPr>
        <w:tabs>
          <w:tab w:val="left" w:pos="3600"/>
        </w:tabs>
        <w:ind w:left="3600" w:hanging="720"/>
      </w:pPr>
      <w:rPr>
        <w:rFonts w:hint="default"/>
      </w:rPr>
    </w:lvl>
    <w:lvl w:ilvl="5">
      <w:start w:val="1"/>
      <w:numFmt w:val="decimal"/>
      <w:lvlText w:val="%6."/>
      <w:lvlJc w:val="left"/>
      <w:pPr>
        <w:tabs>
          <w:tab w:val="left" w:pos="4320"/>
        </w:tabs>
        <w:ind w:left="4320" w:hanging="720"/>
      </w:pPr>
      <w:rPr>
        <w:rFonts w:hint="default"/>
      </w:rPr>
    </w:lvl>
    <w:lvl w:ilvl="6">
      <w:start w:val="1"/>
      <w:numFmt w:val="decimal"/>
      <w:lvlText w:val="%7."/>
      <w:lvlJc w:val="left"/>
      <w:pPr>
        <w:tabs>
          <w:tab w:val="left" w:pos="5040"/>
        </w:tabs>
        <w:ind w:left="5040" w:hanging="720"/>
      </w:pPr>
      <w:rPr>
        <w:rFonts w:hint="default"/>
      </w:rPr>
    </w:lvl>
    <w:lvl w:ilvl="7">
      <w:start w:val="1"/>
      <w:numFmt w:val="decimal"/>
      <w:lvlText w:val="%8."/>
      <w:lvlJc w:val="left"/>
      <w:pPr>
        <w:tabs>
          <w:tab w:val="left" w:pos="5760"/>
        </w:tabs>
        <w:ind w:left="5760" w:hanging="720"/>
      </w:pPr>
      <w:rPr>
        <w:rFonts w:hint="default"/>
      </w:rPr>
    </w:lvl>
    <w:lvl w:ilvl="8">
      <w:start w:val="1"/>
      <w:numFmt w:val="decimal"/>
      <w:lvlText w:val="%9."/>
      <w:lvlJc w:val="left"/>
      <w:pPr>
        <w:tabs>
          <w:tab w:val="left" w:pos="6480"/>
        </w:tabs>
        <w:ind w:left="6480" w:hanging="720"/>
      </w:pPr>
      <w:rPr>
        <w:rFonts w:hint="default"/>
      </w:rPr>
    </w:lvl>
  </w:abstractNum>
  <w:abstractNum w:abstractNumId="13" w15:restartNumberingAfterBreak="0">
    <w:nsid w:val="7C5172FC"/>
    <w:multiLevelType w:val="multilevel"/>
    <w:tmpl w:val="7C5172FC"/>
    <w:lvl w:ilvl="0">
      <w:start w:val="1"/>
      <w:numFmt w:val="bullet"/>
      <w:lvlText w:val=""/>
      <w:lvlJc w:val="left"/>
      <w:pPr>
        <w:ind w:left="360" w:hanging="360"/>
      </w:pPr>
      <w:rPr>
        <w:rFonts w:hint="default" w:ascii="Wingdings" w:hAnsi="Wingdings"/>
        <w:color w:val="00ADEA"/>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4" w15:restartNumberingAfterBreak="0">
    <w:nsid w:val="7E9B5B30"/>
    <w:multiLevelType w:val="multilevel"/>
    <w:tmpl w:val="7E9B5B30"/>
    <w:lvl w:ilvl="0">
      <w:start w:val="1"/>
      <w:numFmt w:val="bullet"/>
      <w:lvlText w:val=""/>
      <w:lvlJc w:val="left"/>
      <w:pPr>
        <w:ind w:left="360" w:hanging="360"/>
      </w:pPr>
      <w:rPr>
        <w:rFonts w:hint="default" w:ascii="Wingdings" w:hAnsi="Wingdings"/>
        <w:color w:val="00ADEA"/>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5" w15:restartNumberingAfterBreak="0">
    <w:nsid w:val="7EBE0AED"/>
    <w:multiLevelType w:val="multilevel"/>
    <w:tmpl w:val="7EBE0AED"/>
    <w:lvl w:ilvl="0">
      <w:start w:val="1"/>
      <w:numFmt w:val="bullet"/>
      <w:lvlText w:val=""/>
      <w:lvlJc w:val="left"/>
      <w:pPr>
        <w:ind w:left="1080" w:hanging="360"/>
      </w:pPr>
      <w:rPr>
        <w:rFonts w:hint="default" w:ascii="Symbol" w:hAnsi="Symbol"/>
        <w:color w:val="000000" w:themeColor="text1"/>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num w:numId="1" w16cid:durableId="1657101351">
    <w:abstractNumId w:val="8"/>
  </w:num>
  <w:num w:numId="2" w16cid:durableId="570653239">
    <w:abstractNumId w:val="12"/>
  </w:num>
  <w:num w:numId="3" w16cid:durableId="502747981">
    <w:abstractNumId w:val="2"/>
  </w:num>
  <w:num w:numId="4" w16cid:durableId="859664464">
    <w:abstractNumId w:val="9"/>
  </w:num>
  <w:num w:numId="5" w16cid:durableId="1446384857">
    <w:abstractNumId w:val="4"/>
  </w:num>
  <w:num w:numId="6" w16cid:durableId="827332521">
    <w:abstractNumId w:val="14"/>
  </w:num>
  <w:num w:numId="7" w16cid:durableId="1245797371">
    <w:abstractNumId w:val="11"/>
  </w:num>
  <w:num w:numId="8" w16cid:durableId="225142040">
    <w:abstractNumId w:val="7"/>
  </w:num>
  <w:num w:numId="9" w16cid:durableId="1529178920">
    <w:abstractNumId w:val="5"/>
  </w:num>
  <w:num w:numId="10" w16cid:durableId="978149979">
    <w:abstractNumId w:val="6"/>
  </w:num>
  <w:num w:numId="11" w16cid:durableId="2115855606">
    <w:abstractNumId w:val="10"/>
  </w:num>
  <w:num w:numId="12" w16cid:durableId="203638058">
    <w:abstractNumId w:val="3"/>
  </w:num>
  <w:num w:numId="13" w16cid:durableId="1537082880">
    <w:abstractNumId w:val="13"/>
  </w:num>
  <w:num w:numId="14" w16cid:durableId="1726178127">
    <w:abstractNumId w:val="0"/>
  </w:num>
  <w:num w:numId="15" w16cid:durableId="1454715401">
    <w:abstractNumId w:val="1"/>
  </w:num>
  <w:num w:numId="16" w16cid:durableId="15755523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E8"/>
    <w:rsid w:val="00015AE8"/>
    <w:rsid w:val="00017563"/>
    <w:rsid w:val="000226CB"/>
    <w:rsid w:val="0002350A"/>
    <w:rsid w:val="00023639"/>
    <w:rsid w:val="000307F9"/>
    <w:rsid w:val="00032CEB"/>
    <w:rsid w:val="00036120"/>
    <w:rsid w:val="000669F5"/>
    <w:rsid w:val="000904B3"/>
    <w:rsid w:val="00090889"/>
    <w:rsid w:val="00094A7C"/>
    <w:rsid w:val="00096C46"/>
    <w:rsid w:val="000C27DE"/>
    <w:rsid w:val="000C30F1"/>
    <w:rsid w:val="000C7D54"/>
    <w:rsid w:val="000D14BE"/>
    <w:rsid w:val="000D3B98"/>
    <w:rsid w:val="000D4D65"/>
    <w:rsid w:val="000D5B9A"/>
    <w:rsid w:val="000E68FF"/>
    <w:rsid w:val="0010401C"/>
    <w:rsid w:val="00114076"/>
    <w:rsid w:val="001252E5"/>
    <w:rsid w:val="00126570"/>
    <w:rsid w:val="001426D5"/>
    <w:rsid w:val="001465C6"/>
    <w:rsid w:val="00147086"/>
    <w:rsid w:val="00153A90"/>
    <w:rsid w:val="00160F39"/>
    <w:rsid w:val="001822CA"/>
    <w:rsid w:val="00196E8F"/>
    <w:rsid w:val="001B038A"/>
    <w:rsid w:val="001B423E"/>
    <w:rsid w:val="001C5F4E"/>
    <w:rsid w:val="001D2C5D"/>
    <w:rsid w:val="001D3D8D"/>
    <w:rsid w:val="001E148B"/>
    <w:rsid w:val="001E7B5D"/>
    <w:rsid w:val="001F4B09"/>
    <w:rsid w:val="00204E5E"/>
    <w:rsid w:val="00205EF1"/>
    <w:rsid w:val="00210AC9"/>
    <w:rsid w:val="00217128"/>
    <w:rsid w:val="00235904"/>
    <w:rsid w:val="002360B1"/>
    <w:rsid w:val="00236481"/>
    <w:rsid w:val="00244966"/>
    <w:rsid w:val="00250D4A"/>
    <w:rsid w:val="0025129C"/>
    <w:rsid w:val="002656FD"/>
    <w:rsid w:val="00271466"/>
    <w:rsid w:val="00277915"/>
    <w:rsid w:val="00280AD1"/>
    <w:rsid w:val="002A7CC2"/>
    <w:rsid w:val="002B3BAD"/>
    <w:rsid w:val="002C0EF8"/>
    <w:rsid w:val="002C278C"/>
    <w:rsid w:val="002C611D"/>
    <w:rsid w:val="002C7325"/>
    <w:rsid w:val="002C7581"/>
    <w:rsid w:val="002E4B55"/>
    <w:rsid w:val="002F24CE"/>
    <w:rsid w:val="002F4FA9"/>
    <w:rsid w:val="003269A0"/>
    <w:rsid w:val="00326A35"/>
    <w:rsid w:val="00331118"/>
    <w:rsid w:val="0036093C"/>
    <w:rsid w:val="003632E2"/>
    <w:rsid w:val="00366BA4"/>
    <w:rsid w:val="003854A7"/>
    <w:rsid w:val="003910B9"/>
    <w:rsid w:val="0039292B"/>
    <w:rsid w:val="00397269"/>
    <w:rsid w:val="003A0ED5"/>
    <w:rsid w:val="003A2A66"/>
    <w:rsid w:val="003B5EC9"/>
    <w:rsid w:val="003C1B56"/>
    <w:rsid w:val="003D0621"/>
    <w:rsid w:val="003D3688"/>
    <w:rsid w:val="003D725D"/>
    <w:rsid w:val="003E10EF"/>
    <w:rsid w:val="003F521D"/>
    <w:rsid w:val="00404526"/>
    <w:rsid w:val="00404F70"/>
    <w:rsid w:val="00411BE1"/>
    <w:rsid w:val="00417292"/>
    <w:rsid w:val="00421F3D"/>
    <w:rsid w:val="004313E8"/>
    <w:rsid w:val="004372E6"/>
    <w:rsid w:val="00440023"/>
    <w:rsid w:val="00444D6D"/>
    <w:rsid w:val="00454F88"/>
    <w:rsid w:val="004648E8"/>
    <w:rsid w:val="00474713"/>
    <w:rsid w:val="00481A50"/>
    <w:rsid w:val="004834FD"/>
    <w:rsid w:val="0049219C"/>
    <w:rsid w:val="004A6643"/>
    <w:rsid w:val="004B0E99"/>
    <w:rsid w:val="004C041F"/>
    <w:rsid w:val="004C4C61"/>
    <w:rsid w:val="004C7417"/>
    <w:rsid w:val="004D0417"/>
    <w:rsid w:val="004D336E"/>
    <w:rsid w:val="004F4B70"/>
    <w:rsid w:val="004F6EDD"/>
    <w:rsid w:val="00501E76"/>
    <w:rsid w:val="00505A79"/>
    <w:rsid w:val="005110F8"/>
    <w:rsid w:val="005208B0"/>
    <w:rsid w:val="00551E34"/>
    <w:rsid w:val="00561F2D"/>
    <w:rsid w:val="005653F2"/>
    <w:rsid w:val="0056672E"/>
    <w:rsid w:val="00566DFB"/>
    <w:rsid w:val="00574120"/>
    <w:rsid w:val="00577BE6"/>
    <w:rsid w:val="00580A85"/>
    <w:rsid w:val="00584C97"/>
    <w:rsid w:val="00591449"/>
    <w:rsid w:val="005B5F9C"/>
    <w:rsid w:val="005B6D55"/>
    <w:rsid w:val="005C5D10"/>
    <w:rsid w:val="005D660A"/>
    <w:rsid w:val="005D695B"/>
    <w:rsid w:val="005F02D8"/>
    <w:rsid w:val="005F2CA2"/>
    <w:rsid w:val="005F43E8"/>
    <w:rsid w:val="00603127"/>
    <w:rsid w:val="006149C0"/>
    <w:rsid w:val="00615B28"/>
    <w:rsid w:val="00637DB3"/>
    <w:rsid w:val="006441DF"/>
    <w:rsid w:val="00644225"/>
    <w:rsid w:val="00644849"/>
    <w:rsid w:val="00647564"/>
    <w:rsid w:val="006508AD"/>
    <w:rsid w:val="006564E9"/>
    <w:rsid w:val="00663393"/>
    <w:rsid w:val="006758F1"/>
    <w:rsid w:val="00684944"/>
    <w:rsid w:val="0069045C"/>
    <w:rsid w:val="00690F93"/>
    <w:rsid w:val="006A05B6"/>
    <w:rsid w:val="006B7EE9"/>
    <w:rsid w:val="006D12DA"/>
    <w:rsid w:val="006E7ED2"/>
    <w:rsid w:val="006F352E"/>
    <w:rsid w:val="006F6060"/>
    <w:rsid w:val="0071096C"/>
    <w:rsid w:val="00710FC0"/>
    <w:rsid w:val="007244EC"/>
    <w:rsid w:val="007253F5"/>
    <w:rsid w:val="00726DBF"/>
    <w:rsid w:val="00730D56"/>
    <w:rsid w:val="0073182F"/>
    <w:rsid w:val="00752F2B"/>
    <w:rsid w:val="00770988"/>
    <w:rsid w:val="00784086"/>
    <w:rsid w:val="00790C71"/>
    <w:rsid w:val="00794CDE"/>
    <w:rsid w:val="00794DE2"/>
    <w:rsid w:val="00796B6C"/>
    <w:rsid w:val="007B094F"/>
    <w:rsid w:val="007B2E53"/>
    <w:rsid w:val="007C124E"/>
    <w:rsid w:val="007F4B91"/>
    <w:rsid w:val="008101E2"/>
    <w:rsid w:val="0081327B"/>
    <w:rsid w:val="00814CF5"/>
    <w:rsid w:val="0081780C"/>
    <w:rsid w:val="0082082B"/>
    <w:rsid w:val="00821497"/>
    <w:rsid w:val="00831A0F"/>
    <w:rsid w:val="00840E06"/>
    <w:rsid w:val="00855D4E"/>
    <w:rsid w:val="00855F9E"/>
    <w:rsid w:val="008607DA"/>
    <w:rsid w:val="00863047"/>
    <w:rsid w:val="008771C1"/>
    <w:rsid w:val="00887CAE"/>
    <w:rsid w:val="00896BBB"/>
    <w:rsid w:val="008A070A"/>
    <w:rsid w:val="008B0CA6"/>
    <w:rsid w:val="008D21CB"/>
    <w:rsid w:val="008D3296"/>
    <w:rsid w:val="008D6B8B"/>
    <w:rsid w:val="008F70EF"/>
    <w:rsid w:val="009049A6"/>
    <w:rsid w:val="00914579"/>
    <w:rsid w:val="0095027F"/>
    <w:rsid w:val="009577AC"/>
    <w:rsid w:val="009622B1"/>
    <w:rsid w:val="009712B0"/>
    <w:rsid w:val="00973CFC"/>
    <w:rsid w:val="0099421A"/>
    <w:rsid w:val="009A113C"/>
    <w:rsid w:val="009A645E"/>
    <w:rsid w:val="009C5452"/>
    <w:rsid w:val="009C65B0"/>
    <w:rsid w:val="009C7D54"/>
    <w:rsid w:val="009E7139"/>
    <w:rsid w:val="009E7F62"/>
    <w:rsid w:val="009F097A"/>
    <w:rsid w:val="009F409F"/>
    <w:rsid w:val="009F6AA5"/>
    <w:rsid w:val="00A10950"/>
    <w:rsid w:val="00A1351F"/>
    <w:rsid w:val="00A20847"/>
    <w:rsid w:val="00A23C4F"/>
    <w:rsid w:val="00A30B1F"/>
    <w:rsid w:val="00A54F87"/>
    <w:rsid w:val="00A575A6"/>
    <w:rsid w:val="00A62BDF"/>
    <w:rsid w:val="00A676AE"/>
    <w:rsid w:val="00A812A4"/>
    <w:rsid w:val="00A83161"/>
    <w:rsid w:val="00A870F8"/>
    <w:rsid w:val="00AA3B9E"/>
    <w:rsid w:val="00AA3C0F"/>
    <w:rsid w:val="00AB07BF"/>
    <w:rsid w:val="00AB2BC1"/>
    <w:rsid w:val="00AB50C7"/>
    <w:rsid w:val="00AC3F9F"/>
    <w:rsid w:val="00AC4142"/>
    <w:rsid w:val="00AC7AC6"/>
    <w:rsid w:val="00AC7C91"/>
    <w:rsid w:val="00AD441E"/>
    <w:rsid w:val="00AF0DC4"/>
    <w:rsid w:val="00AF6722"/>
    <w:rsid w:val="00B13C32"/>
    <w:rsid w:val="00B25F20"/>
    <w:rsid w:val="00B27AF4"/>
    <w:rsid w:val="00B51CED"/>
    <w:rsid w:val="00B54093"/>
    <w:rsid w:val="00B54CF9"/>
    <w:rsid w:val="00B94C8F"/>
    <w:rsid w:val="00BA3EAA"/>
    <w:rsid w:val="00BB03D2"/>
    <w:rsid w:val="00BB28E8"/>
    <w:rsid w:val="00BC6764"/>
    <w:rsid w:val="00BD2973"/>
    <w:rsid w:val="00BD61E8"/>
    <w:rsid w:val="00BE6EC1"/>
    <w:rsid w:val="00BF149F"/>
    <w:rsid w:val="00C06313"/>
    <w:rsid w:val="00C40075"/>
    <w:rsid w:val="00C544A7"/>
    <w:rsid w:val="00C60DC7"/>
    <w:rsid w:val="00C63778"/>
    <w:rsid w:val="00C64B2C"/>
    <w:rsid w:val="00C67F0A"/>
    <w:rsid w:val="00C73B81"/>
    <w:rsid w:val="00C765B7"/>
    <w:rsid w:val="00C77323"/>
    <w:rsid w:val="00C83F55"/>
    <w:rsid w:val="00C913D1"/>
    <w:rsid w:val="00C91F6A"/>
    <w:rsid w:val="00C948BD"/>
    <w:rsid w:val="00CA3F73"/>
    <w:rsid w:val="00CC0F47"/>
    <w:rsid w:val="00CC55A8"/>
    <w:rsid w:val="00CF0E7A"/>
    <w:rsid w:val="00CF7DAF"/>
    <w:rsid w:val="00D05831"/>
    <w:rsid w:val="00D3155E"/>
    <w:rsid w:val="00D31DDC"/>
    <w:rsid w:val="00D42C8A"/>
    <w:rsid w:val="00D46B73"/>
    <w:rsid w:val="00D513C0"/>
    <w:rsid w:val="00D6394B"/>
    <w:rsid w:val="00D67A04"/>
    <w:rsid w:val="00D71B34"/>
    <w:rsid w:val="00D763C3"/>
    <w:rsid w:val="00D766FD"/>
    <w:rsid w:val="00D80BF3"/>
    <w:rsid w:val="00D81CFC"/>
    <w:rsid w:val="00D90BC2"/>
    <w:rsid w:val="00D926F0"/>
    <w:rsid w:val="00DA06BF"/>
    <w:rsid w:val="00DA703A"/>
    <w:rsid w:val="00DB01F1"/>
    <w:rsid w:val="00DB195E"/>
    <w:rsid w:val="00DC042C"/>
    <w:rsid w:val="00DD108F"/>
    <w:rsid w:val="00DD2A01"/>
    <w:rsid w:val="00DE5A93"/>
    <w:rsid w:val="00DE6488"/>
    <w:rsid w:val="00DF0474"/>
    <w:rsid w:val="00DF3AF0"/>
    <w:rsid w:val="00E17F3D"/>
    <w:rsid w:val="00E47BE1"/>
    <w:rsid w:val="00E51061"/>
    <w:rsid w:val="00E549B2"/>
    <w:rsid w:val="00E61779"/>
    <w:rsid w:val="00E6546F"/>
    <w:rsid w:val="00E85B54"/>
    <w:rsid w:val="00EA53A2"/>
    <w:rsid w:val="00EB5DB1"/>
    <w:rsid w:val="00EC6D35"/>
    <w:rsid w:val="00ED2DFC"/>
    <w:rsid w:val="00EF6AE2"/>
    <w:rsid w:val="00EF7B0E"/>
    <w:rsid w:val="00F01736"/>
    <w:rsid w:val="00F055B9"/>
    <w:rsid w:val="00F15E9C"/>
    <w:rsid w:val="00F16368"/>
    <w:rsid w:val="00F16FD6"/>
    <w:rsid w:val="00F2789C"/>
    <w:rsid w:val="00F43B9C"/>
    <w:rsid w:val="00F56277"/>
    <w:rsid w:val="00F57214"/>
    <w:rsid w:val="00FA2822"/>
    <w:rsid w:val="00FA610D"/>
    <w:rsid w:val="00FB3A00"/>
    <w:rsid w:val="00FB71C8"/>
    <w:rsid w:val="00FC18ED"/>
    <w:rsid w:val="00FE1B62"/>
    <w:rsid w:val="00FE222E"/>
    <w:rsid w:val="00FE3DB1"/>
    <w:rsid w:val="01E448A4"/>
    <w:rsid w:val="092729B2"/>
    <w:rsid w:val="09926A2D"/>
    <w:rsid w:val="09EC5DDB"/>
    <w:rsid w:val="1343AF78"/>
    <w:rsid w:val="14A359FE"/>
    <w:rsid w:val="17109310"/>
    <w:rsid w:val="1ADF3062"/>
    <w:rsid w:val="1B906726"/>
    <w:rsid w:val="1CCF472B"/>
    <w:rsid w:val="1E64CFF6"/>
    <w:rsid w:val="1E9BC697"/>
    <w:rsid w:val="1F234226"/>
    <w:rsid w:val="25BD1F3F"/>
    <w:rsid w:val="267A1C72"/>
    <w:rsid w:val="286E96E5"/>
    <w:rsid w:val="2B2CAFBF"/>
    <w:rsid w:val="2B59B7C0"/>
    <w:rsid w:val="331A90DB"/>
    <w:rsid w:val="3380A0FC"/>
    <w:rsid w:val="348D8247"/>
    <w:rsid w:val="36531560"/>
    <w:rsid w:val="369F1961"/>
    <w:rsid w:val="378F3E8A"/>
    <w:rsid w:val="38EAE4B6"/>
    <w:rsid w:val="394B3150"/>
    <w:rsid w:val="3C96F607"/>
    <w:rsid w:val="3CEC761E"/>
    <w:rsid w:val="3E953411"/>
    <w:rsid w:val="4045FBA7"/>
    <w:rsid w:val="4100D84C"/>
    <w:rsid w:val="44022E00"/>
    <w:rsid w:val="44F3E394"/>
    <w:rsid w:val="45E09378"/>
    <w:rsid w:val="46DD2F82"/>
    <w:rsid w:val="4858FB12"/>
    <w:rsid w:val="49135CA5"/>
    <w:rsid w:val="49BF06EE"/>
    <w:rsid w:val="49F4CB73"/>
    <w:rsid w:val="4C6AA800"/>
    <w:rsid w:val="4C74353F"/>
    <w:rsid w:val="4D2C6C35"/>
    <w:rsid w:val="50640CF7"/>
    <w:rsid w:val="50F83094"/>
    <w:rsid w:val="51FFDD58"/>
    <w:rsid w:val="548DB21E"/>
    <w:rsid w:val="556651D7"/>
    <w:rsid w:val="5658407B"/>
    <w:rsid w:val="56D34E7B"/>
    <w:rsid w:val="57D50AB8"/>
    <w:rsid w:val="58AFFE17"/>
    <w:rsid w:val="59BE7D4A"/>
    <w:rsid w:val="5A51DD4D"/>
    <w:rsid w:val="5AEC33D6"/>
    <w:rsid w:val="5DBF37F3"/>
    <w:rsid w:val="61B137E1"/>
    <w:rsid w:val="668E20DF"/>
    <w:rsid w:val="67AD9240"/>
    <w:rsid w:val="67C40CDB"/>
    <w:rsid w:val="6CBDCF9B"/>
    <w:rsid w:val="6DF0D157"/>
    <w:rsid w:val="6E7FAC13"/>
    <w:rsid w:val="701B7C74"/>
    <w:rsid w:val="70C9AC66"/>
    <w:rsid w:val="7199BFEB"/>
    <w:rsid w:val="72326A48"/>
    <w:rsid w:val="776DFF48"/>
    <w:rsid w:val="78501A42"/>
    <w:rsid w:val="788491B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171F"/>
  <w15:docId w15:val="{76781550-6CE9-AF43-95EA-5A86C881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sz w:val="24"/>
      <w:szCs w:val="24"/>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autoSpaceDE w:val="0"/>
      <w:autoSpaceDN w:val="0"/>
      <w:adjustRightInd w:val="0"/>
      <w:ind w:left="39"/>
      <w:jc w:val="both"/>
    </w:pPr>
    <w:rPr>
      <w:rFonts w:ascii="Arial" w:hAnsi="Arial" w:cs="Arial" w:eastAsiaTheme="minorHAnsi"/>
      <w:sz w:val="22"/>
      <w:szCs w:val="22"/>
      <w:lang w:val="en-US" w:eastAsia="en-US"/>
    </w:rPr>
  </w:style>
  <w:style w:type="paragraph" w:styleId="CommentText">
    <w:name w:val="annotation text"/>
    <w:basedOn w:val="Normal"/>
    <w:link w:val="CommentTextChar"/>
    <w:uiPriority w:val="99"/>
    <w:unhideWhenUsed/>
    <w:qFormat/>
    <w:pPr>
      <w:spacing w:after="160"/>
    </w:pPr>
    <w:rPr>
      <w:sz w:val="20"/>
      <w:szCs w:val="20"/>
      <w:lang w:val="en-US"/>
    </w:rPr>
  </w:style>
  <w:style w:type="paragraph" w:styleId="CommentSubject">
    <w:name w:val="annotation subject"/>
    <w:basedOn w:val="CommentText"/>
    <w:next w:val="CommentText"/>
    <w:link w:val="CommentSubjectChar"/>
    <w:uiPriority w:val="99"/>
    <w:unhideWhenUsed/>
    <w:pPr>
      <w:spacing w:after="0"/>
    </w:pPr>
    <w:rPr>
      <w:b/>
      <w:bCs/>
      <w:lang w:val="fr-FR"/>
    </w:rPr>
  </w:style>
  <w:style w:type="paragraph" w:styleId="Footer">
    <w:name w:val="footer"/>
    <w:basedOn w:val="Normal"/>
    <w:link w:val="FooterChar"/>
    <w:uiPriority w:val="99"/>
    <w:unhideWhenUsed/>
    <w:qFormat/>
    <w:pPr>
      <w:tabs>
        <w:tab w:val="center" w:pos="4536"/>
        <w:tab w:val="right" w:pos="9072"/>
      </w:tabs>
    </w:pPr>
  </w:style>
  <w:style w:type="paragraph" w:styleId="FootnoteText">
    <w:name w:val="footnote text"/>
    <w:basedOn w:val="Normal"/>
    <w:link w:val="FootnoteTextChar"/>
    <w:uiPriority w:val="99"/>
    <w:unhideWhenUsed/>
    <w:qFormat/>
    <w:rPr>
      <w:rFonts w:ascii="Calibri" w:hAnsi="Calibri" w:eastAsia="MS Mincho"/>
      <w:sz w:val="20"/>
      <w:szCs w:val="20"/>
      <w:lang w:val="en-GB" w:eastAsia="en-GB"/>
    </w:rPr>
  </w:style>
  <w:style w:type="paragraph" w:styleId="Header">
    <w:name w:val="header"/>
    <w:basedOn w:val="Normal"/>
    <w:link w:val="HeaderChar"/>
    <w:uiPriority w:val="99"/>
    <w:unhideWhenUsed/>
    <w:qFormat/>
    <w:pPr>
      <w:tabs>
        <w:tab w:val="center" w:pos="4536"/>
        <w:tab w:val="right" w:pos="9072"/>
      </w:tabs>
    </w:pPr>
  </w:style>
  <w:style w:type="paragraph" w:styleId="NormalWeb">
    <w:name w:val="Normal (Web)"/>
    <w:basedOn w:val="Normal"/>
    <w:uiPriority w:val="99"/>
    <w:unhideWhenUsed/>
    <w:qFormat/>
    <w:pPr>
      <w:spacing w:before="100" w:beforeAutospacing="1" w:after="100" w:afterAutospacing="1"/>
    </w:pPr>
    <w:rPr>
      <w:lang w:val="en-US"/>
    </w:rPr>
  </w:style>
  <w:style w:type="paragraph" w:styleId="Title">
    <w:name w:val="Title"/>
    <w:basedOn w:val="Normal"/>
    <w:link w:val="TitleChar"/>
    <w:uiPriority w:val="10"/>
    <w:qFormat/>
    <w:pPr>
      <w:jc w:val="center"/>
    </w:pPr>
    <w:rPr>
      <w:rFonts w:ascii="Arial" w:hAnsi="Arial"/>
      <w:b/>
      <w:sz w:val="28"/>
      <w:szCs w:val="20"/>
      <w:lang w:val="en-GB" w:eastAsia="en-GB"/>
    </w:r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954F72" w:themeColor="followedHyperlink"/>
      <w:u w:val="single"/>
    </w:rPr>
  </w:style>
  <w:style w:type="character" w:styleId="FootnoteReference">
    <w:name w:val="footnote reference"/>
    <w:link w:val="Char2"/>
    <w:uiPriority w:val="99"/>
    <w:unhideWhenUsed/>
    <w:qFormat/>
    <w:rPr>
      <w:vertAlign w:val="superscript"/>
      <w:lang w:val="en-GB" w:eastAsia="en-GB"/>
    </w:rPr>
  </w:style>
  <w:style w:type="paragraph" w:styleId="Char2" w:customStyle="1">
    <w:name w:val="Char2"/>
    <w:basedOn w:val="Normal"/>
    <w:link w:val="FootnoteReference"/>
    <w:qFormat/>
    <w:pPr>
      <w:spacing w:after="160" w:line="240" w:lineRule="exact"/>
    </w:pPr>
    <w:rPr>
      <w:vertAlign w:val="superscript"/>
      <w:lang w:val="en-GB" w:eastAsia="en-GB"/>
    </w:rPr>
  </w:style>
  <w:style w:type="character" w:styleId="Hyperlink">
    <w:name w:val="Hyperlink"/>
    <w:basedOn w:val="DefaultParagraphFont"/>
    <w:uiPriority w:val="99"/>
    <w:unhideWhenUsed/>
    <w:qFormat/>
    <w:rPr>
      <w:color w:val="0563C1" w:themeColor="hyperlink"/>
      <w:u w:val="single"/>
    </w:rPr>
  </w:style>
  <w:style w:type="character" w:styleId="PageNumber">
    <w:name w:val="page number"/>
    <w:basedOn w:val="DefaultParagraphFont"/>
    <w:uiPriority w:val="99"/>
    <w:unhideWhenUsed/>
    <w:qFormat/>
  </w:style>
  <w:style w:type="table" w:styleId="TableGrid">
    <w:name w:val="Table Grid"/>
    <w:basedOn w:val="TableNormal"/>
    <w:uiPriority w:val="39"/>
    <w:qFormat/>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qFormat/>
  </w:style>
  <w:style w:type="character" w:styleId="FooterChar" w:customStyle="1">
    <w:name w:val="Footer Char"/>
    <w:basedOn w:val="DefaultParagraphFont"/>
    <w:link w:val="Footer"/>
    <w:uiPriority w:val="99"/>
    <w:qFormat/>
  </w:style>
  <w:style w:type="paragraph" w:styleId="Paragraphedeliste1" w:customStyle="1">
    <w:name w:val="Paragraphe de liste1"/>
    <w:basedOn w:val="Normal"/>
    <w:link w:val="ListParagraphChar"/>
    <w:uiPriority w:val="34"/>
    <w:qFormat/>
    <w:pPr>
      <w:spacing w:after="160" w:line="259" w:lineRule="auto"/>
      <w:ind w:left="720"/>
      <w:contextualSpacing/>
    </w:pPr>
    <w:rPr>
      <w:sz w:val="22"/>
      <w:szCs w:val="22"/>
      <w:lang w:val="en-US"/>
    </w:rPr>
  </w:style>
  <w:style w:type="character" w:styleId="ListParagraphChar" w:customStyle="1">
    <w:name w:val="List Paragraph Char"/>
    <w:link w:val="Paragraphedeliste1"/>
    <w:uiPriority w:val="34"/>
    <w:qFormat/>
    <w:rPr>
      <w:sz w:val="22"/>
      <w:szCs w:val="22"/>
      <w:lang w:val="en-US"/>
    </w:rPr>
  </w:style>
  <w:style w:type="character" w:styleId="FootnoteTextChar" w:customStyle="1">
    <w:name w:val="Footnote Text Char"/>
    <w:basedOn w:val="DefaultParagraphFont"/>
    <w:link w:val="FootnoteText"/>
    <w:uiPriority w:val="99"/>
    <w:qFormat/>
    <w:rPr>
      <w:rFonts w:ascii="Calibri" w:hAnsi="Calibri" w:eastAsia="MS Mincho" w:cs="Times New Roman"/>
      <w:sz w:val="20"/>
      <w:szCs w:val="20"/>
      <w:lang w:val="en-GB" w:eastAsia="en-GB"/>
    </w:rPr>
  </w:style>
  <w:style w:type="character" w:styleId="CommentTextChar" w:customStyle="1">
    <w:name w:val="Comment Text Char"/>
    <w:basedOn w:val="DefaultParagraphFont"/>
    <w:link w:val="CommentText"/>
    <w:uiPriority w:val="99"/>
    <w:qFormat/>
    <w:rPr>
      <w:sz w:val="20"/>
      <w:szCs w:val="20"/>
      <w:lang w:val="en-US"/>
    </w:rPr>
  </w:style>
  <w:style w:type="character" w:styleId="TitleChar" w:customStyle="1">
    <w:name w:val="Title Char"/>
    <w:basedOn w:val="DefaultParagraphFont"/>
    <w:link w:val="Title"/>
    <w:uiPriority w:val="10"/>
    <w:qFormat/>
    <w:rPr>
      <w:rFonts w:ascii="Arial" w:hAnsi="Arial" w:eastAsia="Times New Roman" w:cs="Times New Roman"/>
      <w:b/>
      <w:sz w:val="28"/>
      <w:szCs w:val="20"/>
      <w:lang w:val="en-GB" w:eastAsia="en-GB"/>
    </w:rPr>
  </w:style>
  <w:style w:type="character" w:styleId="Mentionnonrsolue1" w:customStyle="1">
    <w:name w:val="Mention non résolue1"/>
    <w:basedOn w:val="DefaultParagraphFont"/>
    <w:uiPriority w:val="99"/>
    <w:unhideWhenUsed/>
    <w:qFormat/>
    <w:rPr>
      <w:color w:val="605E5C"/>
      <w:shd w:val="clear" w:color="auto" w:fill="E1DFDD"/>
    </w:rPr>
  </w:style>
  <w:style w:type="character" w:styleId="CommentSubjectChar" w:customStyle="1">
    <w:name w:val="Comment Subject Char"/>
    <w:basedOn w:val="CommentTextChar"/>
    <w:link w:val="CommentSubject"/>
    <w:uiPriority w:val="99"/>
    <w:semiHidden/>
    <w:rPr>
      <w:b/>
      <w:bCs/>
      <w:sz w:val="20"/>
      <w:szCs w:val="20"/>
      <w:lang w:val="en-US"/>
    </w:rPr>
  </w:style>
  <w:style w:type="paragraph" w:styleId="paragraph" w:customStyle="1">
    <w:name w:val="paragraph"/>
    <w:basedOn w:val="Normal"/>
    <w:qFormat/>
    <w:pPr>
      <w:spacing w:before="100" w:beforeAutospacing="1" w:after="100" w:afterAutospacing="1"/>
    </w:pPr>
  </w:style>
  <w:style w:type="character" w:styleId="normaltextrun" w:customStyle="1">
    <w:name w:val="normaltextrun"/>
    <w:basedOn w:val="DefaultParagraphFont"/>
    <w:qFormat/>
  </w:style>
  <w:style w:type="character" w:styleId="apple-converted-space" w:customStyle="1">
    <w:name w:val="apple-converted-space"/>
    <w:basedOn w:val="DefaultParagraphFont"/>
    <w:qFormat/>
  </w:style>
  <w:style w:type="character" w:styleId="superscript" w:customStyle="1">
    <w:name w:val="superscript"/>
    <w:basedOn w:val="DefaultParagraphFont"/>
    <w:qFormat/>
  </w:style>
  <w:style w:type="character" w:styleId="eop" w:customStyle="1">
    <w:name w:val="eop"/>
    <w:basedOn w:val="DefaultParagraphFont"/>
    <w:qFormat/>
  </w:style>
  <w:style w:type="paragraph" w:styleId="Rvision1" w:customStyle="1">
    <w:name w:val="Révision1"/>
    <w:hidden/>
    <w:uiPriority w:val="99"/>
    <w:semiHidden/>
    <w:qFormat/>
    <w:rPr>
      <w:rFonts w:ascii="Times New Roman" w:hAnsi="Times New Roman" w:eastAsia="Times New Roman" w:cs="Times New Roman"/>
      <w:sz w:val="24"/>
      <w:szCs w:val="24"/>
      <w:lang w:eastAsia="fr-FR"/>
    </w:rPr>
  </w:style>
  <w:style w:type="character" w:styleId="Mention1" w:customStyle="1">
    <w:name w:val="Mention1"/>
    <w:basedOn w:val="DefaultParagraphFont"/>
    <w:uiPriority w:val="99"/>
    <w:unhideWhenUsed/>
    <w:qFormat/>
    <w:rPr>
      <w:color w:val="2B579A"/>
      <w:shd w:val="clear" w:color="auto" w:fill="E6E6E6"/>
    </w:rPr>
  </w:style>
  <w:style w:type="character" w:styleId="cf01" w:customStyle="1">
    <w:name w:val="cf01"/>
    <w:basedOn w:val="DefaultParagraphFont"/>
    <w:qFormat/>
    <w:rPr>
      <w:rFonts w:hint="default" w:ascii="Segoe UI" w:hAnsi="Segoe UI" w:cs="Segoe UI"/>
      <w:sz w:val="18"/>
      <w:szCs w:val="18"/>
    </w:rPr>
  </w:style>
  <w:style w:type="character" w:styleId="BodyTextChar" w:customStyle="1">
    <w:name w:val="Body Text Char"/>
    <w:basedOn w:val="DefaultParagraphFont"/>
    <w:link w:val="BodyText"/>
    <w:uiPriority w:val="1"/>
    <w:qFormat/>
    <w:rPr>
      <w:rFonts w:ascii="Arial" w:hAnsi="Arial" w:cs="Arial"/>
      <w:sz w:val="22"/>
      <w:szCs w:val="22"/>
      <w:lang w:val="en-US"/>
    </w:rPr>
  </w:style>
  <w:style w:type="paragraph" w:styleId="Revision">
    <w:name w:val="Revision"/>
    <w:hidden/>
    <w:uiPriority w:val="99"/>
    <w:semiHidden/>
    <w:rsid w:val="009E7139"/>
    <w:rPr>
      <w:rFonts w:ascii="Times New Roman" w:hAnsi="Times New Roman"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WPHFapplications@unwomen.org" TargetMode="External" Id="rId8" /><Relationship Type="http://schemas.openxmlformats.org/officeDocument/2006/relationships/hyperlink" Target="https://wphfund.org/wp-content/uploads/2021/05/Indicator-Tip-Sheet_Impact-5_Protection_FR-FINAL_12112020.pdf"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phfund.org/wp-content/uploads/2021/12/Indicator-Tip-Sheet_Impact-3_Humanitarian_FR-_FINAL_03-12-2021-1.pdf" TargetMode="External" Id="rId12" /><Relationship Type="http://schemas.openxmlformats.org/officeDocument/2006/relationships/hyperlink" Target="http://www.oecd.org/dataoecd/29/21/2754804.pdf" TargetMode="External" Id="rId17" /><Relationship Type="http://schemas.openxmlformats.org/officeDocument/2006/relationships/numbering" Target="numbering.xml" Id="rId2" /><Relationship Type="http://schemas.openxmlformats.org/officeDocument/2006/relationships/hyperlink" Target="https://wphfund.org/wp-content/uploads/2021/10/WPHF-Operations-Manual-October-20-2021_FINAL_COMP.pdf"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christina.dezemma@unwomen.org" TargetMode="External" Id="rId11" /><Relationship Type="http://schemas.openxmlformats.org/officeDocument/2006/relationships/webSettings" Target="webSettings.xml" Id="rId5" /><Relationship Type="http://schemas.openxmlformats.org/officeDocument/2006/relationships/hyperlink" Target="https://wphfund.org/wp-content/uploads/2021/08/Indicator-Tip-Sheet_Impact-1_Enabling_Environment_Institutional-Funding_FR_05082021.pdf" TargetMode="External" Id="rId15" /><Relationship Type="http://schemas.openxmlformats.org/officeDocument/2006/relationships/hyperlink" Target="mailto:christina.dezemma@unwomen.org"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acrobat.adobe.com/link/review?uri=urn:aaid:scds:US:64837d4e-bc19-3edb-82dc-0fcffc7141a6" TargetMode="External" Id="rId9" /><Relationship Type="http://schemas.openxmlformats.org/officeDocument/2006/relationships/hyperlink" Target="https://wphfund.org/wp-content/uploads/2021/11/Indicator-Tip-Sheet_Impact-6_Peacebuilding-Recovery_FR-FINAL_09112020.pdf" TargetMode="External" Id="rId14" /><Relationship Type="http://schemas.openxmlformats.org/officeDocument/2006/relationships/theme" Target="theme/theme1.xml" Id="rId22" /><Relationship Type="http://schemas.openxmlformats.org/officeDocument/2006/relationships/glossaryDocument" Target="glossary/document.xml" Id="R2834327d0fe9418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605278-ad20-4f5d-a6a6-ca2d456d8507}"/>
      </w:docPartPr>
      <w:docPartBody>
        <w:p w14:paraId="1E86E287">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Sarra Sfaxi</dc:creator>
  <lastModifiedBy>Breifni Flanagan</lastModifiedBy>
  <revision>4</revision>
  <dcterms:created xsi:type="dcterms:W3CDTF">2023-03-30T10:43:00.0000000Z</dcterms:created>
  <dcterms:modified xsi:type="dcterms:W3CDTF">2023-04-05T10:09:26.3741798Z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